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F946" w14:textId="77777777" w:rsidR="001E2792" w:rsidRDefault="00267CD5" w:rsidP="001E2792">
      <w:pPr>
        <w:spacing w:after="360"/>
        <w:ind w:left="-284" w:right="119"/>
        <w:rPr>
          <w:rFonts w:cs="Arial"/>
          <w:color w:val="005EB8"/>
          <w:sz w:val="56"/>
          <w:szCs w:val="56"/>
        </w:rPr>
      </w:pPr>
      <w:r>
        <w:rPr>
          <w:rFonts w:cs="Arial"/>
          <w:noProof/>
          <w:color w:val="005EB8"/>
          <w:sz w:val="56"/>
          <w:szCs w:val="56"/>
        </w:rPr>
        <w:drawing>
          <wp:anchor distT="0" distB="0" distL="114300" distR="114300" simplePos="0" relativeHeight="251658240" behindDoc="1" locked="0" layoutInCell="1" allowOverlap="1" wp14:anchorId="0366EEF6" wp14:editId="3FE32E44">
            <wp:simplePos x="0" y="0"/>
            <wp:positionH relativeFrom="column">
              <wp:posOffset>3693795</wp:posOffset>
            </wp:positionH>
            <wp:positionV relativeFrom="paragraph">
              <wp:posOffset>-460375</wp:posOffset>
            </wp:positionV>
            <wp:extent cx="2749550" cy="1007110"/>
            <wp:effectExtent l="0" t="0" r="0" b="2540"/>
            <wp:wrapNone/>
            <wp:docPr id="669368951" name="Picture 1" descr="WWLTH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LTH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55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FB0D9" w14:textId="77777777" w:rsidR="001E2792" w:rsidRDefault="001E2792" w:rsidP="00267CD5">
      <w:pPr>
        <w:spacing w:after="360"/>
        <w:ind w:right="119"/>
        <w:rPr>
          <w:rFonts w:cs="Arial"/>
          <w:color w:val="005EB8"/>
          <w:sz w:val="56"/>
          <w:szCs w:val="56"/>
        </w:rPr>
      </w:pPr>
    </w:p>
    <w:tbl>
      <w:tblPr>
        <w:tblpPr w:leftFromText="180" w:rightFromText="180" w:vertAnchor="text" w:tblpY="38"/>
        <w:tblW w:w="992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4820"/>
        <w:gridCol w:w="5103"/>
      </w:tblGrid>
      <w:tr w:rsidR="00267CD5" w:rsidRPr="00810989" w14:paraId="63E8EF08" w14:textId="77777777" w:rsidTr="00D43A3A">
        <w:trPr>
          <w:trHeight w:val="495"/>
        </w:trPr>
        <w:tc>
          <w:tcPr>
            <w:tcW w:w="4820" w:type="dxa"/>
          </w:tcPr>
          <w:p w14:paraId="10A03414" w14:textId="77777777" w:rsidR="00267CD5" w:rsidRPr="00810989" w:rsidRDefault="00267CD5" w:rsidP="00D43A3A">
            <w:pPr>
              <w:rPr>
                <w:rFonts w:ascii="Arial" w:hAnsi="Arial" w:cs="Arial"/>
                <w:b/>
                <w:sz w:val="28"/>
                <w:szCs w:val="28"/>
              </w:rPr>
            </w:pPr>
            <w:r w:rsidRPr="00810989">
              <w:rPr>
                <w:rFonts w:ascii="Arial" w:hAnsi="Arial" w:cs="Arial"/>
                <w:b/>
                <w:sz w:val="28"/>
                <w:szCs w:val="28"/>
              </w:rPr>
              <w:t>POLICY NAME:</w:t>
            </w:r>
          </w:p>
        </w:tc>
        <w:tc>
          <w:tcPr>
            <w:tcW w:w="5103" w:type="dxa"/>
          </w:tcPr>
          <w:p w14:paraId="6CFA9311" w14:textId="77777777" w:rsidR="00267CD5" w:rsidRPr="00810989" w:rsidRDefault="00267CD5" w:rsidP="00D43A3A">
            <w:pPr>
              <w:rPr>
                <w:rFonts w:ascii="Arial" w:hAnsi="Arial" w:cs="Arial"/>
                <w:b/>
                <w:sz w:val="28"/>
                <w:szCs w:val="28"/>
              </w:rPr>
            </w:pPr>
            <w:r>
              <w:rPr>
                <w:rFonts w:ascii="Arial" w:hAnsi="Arial" w:cs="Arial"/>
                <w:b/>
                <w:sz w:val="28"/>
                <w:szCs w:val="28"/>
              </w:rPr>
              <w:t>Patient Safety Incident Response Plan</w:t>
            </w:r>
          </w:p>
        </w:tc>
      </w:tr>
      <w:tr w:rsidR="00267CD5" w:rsidRPr="00810989" w14:paraId="1BCD02A1" w14:textId="77777777" w:rsidTr="00D43A3A">
        <w:trPr>
          <w:trHeight w:val="495"/>
        </w:trPr>
        <w:tc>
          <w:tcPr>
            <w:tcW w:w="4820" w:type="dxa"/>
          </w:tcPr>
          <w:p w14:paraId="7A26E97C" w14:textId="77777777" w:rsidR="00267CD5" w:rsidRPr="00810989" w:rsidRDefault="00267CD5" w:rsidP="00D43A3A">
            <w:pPr>
              <w:rPr>
                <w:rFonts w:ascii="Arial" w:hAnsi="Arial" w:cs="Arial"/>
                <w:b/>
                <w:sz w:val="28"/>
                <w:szCs w:val="28"/>
              </w:rPr>
            </w:pPr>
            <w:r w:rsidRPr="00810989">
              <w:rPr>
                <w:rFonts w:ascii="Arial" w:hAnsi="Arial" w:cs="Arial"/>
                <w:b/>
                <w:sz w:val="28"/>
                <w:szCs w:val="28"/>
              </w:rPr>
              <w:t>POLICY ID NUMBER:</w:t>
            </w:r>
          </w:p>
        </w:tc>
        <w:tc>
          <w:tcPr>
            <w:tcW w:w="5103" w:type="dxa"/>
          </w:tcPr>
          <w:p w14:paraId="41D8233F" w14:textId="77777777" w:rsidR="00267CD5" w:rsidRPr="00810989" w:rsidRDefault="00267CD5" w:rsidP="00D43A3A">
            <w:pPr>
              <w:rPr>
                <w:rFonts w:ascii="Arial" w:hAnsi="Arial" w:cs="Arial"/>
                <w:b/>
                <w:sz w:val="28"/>
                <w:szCs w:val="28"/>
              </w:rPr>
            </w:pPr>
            <w:r>
              <w:rPr>
                <w:rFonts w:ascii="Arial" w:hAnsi="Arial" w:cs="Arial"/>
                <w:b/>
                <w:sz w:val="28"/>
                <w:szCs w:val="28"/>
              </w:rPr>
              <w:t>TW23-076</w:t>
            </w:r>
          </w:p>
        </w:tc>
      </w:tr>
      <w:tr w:rsidR="00267CD5" w:rsidRPr="00810989" w14:paraId="566956AA" w14:textId="77777777" w:rsidTr="00D43A3A">
        <w:trPr>
          <w:trHeight w:val="495"/>
        </w:trPr>
        <w:tc>
          <w:tcPr>
            <w:tcW w:w="4820" w:type="dxa"/>
          </w:tcPr>
          <w:p w14:paraId="22EA8CB1" w14:textId="77777777" w:rsidR="00267CD5" w:rsidRPr="00810989" w:rsidRDefault="00267CD5" w:rsidP="00D43A3A">
            <w:pPr>
              <w:rPr>
                <w:rFonts w:ascii="Arial" w:hAnsi="Arial" w:cs="Arial"/>
                <w:b/>
                <w:sz w:val="28"/>
                <w:szCs w:val="28"/>
              </w:rPr>
            </w:pPr>
            <w:r w:rsidRPr="00810989">
              <w:rPr>
                <w:rFonts w:ascii="Arial" w:hAnsi="Arial" w:cs="Arial"/>
                <w:b/>
                <w:sz w:val="28"/>
                <w:szCs w:val="28"/>
              </w:rPr>
              <w:t>VERSION NUMBER:</w:t>
            </w:r>
          </w:p>
        </w:tc>
        <w:tc>
          <w:tcPr>
            <w:tcW w:w="5103" w:type="dxa"/>
          </w:tcPr>
          <w:p w14:paraId="1B24309A" w14:textId="77777777" w:rsidR="00267CD5" w:rsidRPr="00810989" w:rsidRDefault="00267CD5" w:rsidP="00D43A3A">
            <w:pPr>
              <w:rPr>
                <w:rFonts w:ascii="Arial" w:hAnsi="Arial" w:cs="Arial"/>
                <w:b/>
                <w:sz w:val="28"/>
                <w:szCs w:val="28"/>
              </w:rPr>
            </w:pPr>
            <w:r>
              <w:rPr>
                <w:rFonts w:ascii="Arial" w:hAnsi="Arial" w:cs="Arial"/>
                <w:b/>
                <w:sz w:val="28"/>
                <w:szCs w:val="28"/>
              </w:rPr>
              <w:t>1.0</w:t>
            </w:r>
          </w:p>
        </w:tc>
      </w:tr>
      <w:tr w:rsidR="00267CD5" w:rsidRPr="00810989" w14:paraId="56DA5543" w14:textId="77777777" w:rsidTr="00D43A3A">
        <w:trPr>
          <w:trHeight w:val="495"/>
        </w:trPr>
        <w:tc>
          <w:tcPr>
            <w:tcW w:w="4820" w:type="dxa"/>
          </w:tcPr>
          <w:p w14:paraId="222EA5FB" w14:textId="77777777" w:rsidR="00267CD5" w:rsidRPr="00810989" w:rsidRDefault="00267CD5" w:rsidP="00D43A3A">
            <w:pPr>
              <w:rPr>
                <w:rFonts w:ascii="Arial" w:hAnsi="Arial" w:cs="Arial"/>
                <w:b/>
                <w:sz w:val="28"/>
                <w:szCs w:val="28"/>
              </w:rPr>
            </w:pPr>
            <w:r w:rsidRPr="00810989">
              <w:rPr>
                <w:rFonts w:ascii="Arial" w:hAnsi="Arial" w:cs="Arial"/>
                <w:b/>
                <w:sz w:val="28"/>
                <w:szCs w:val="28"/>
              </w:rPr>
              <w:t>APPROVING COMMITTEE:</w:t>
            </w:r>
          </w:p>
        </w:tc>
        <w:tc>
          <w:tcPr>
            <w:tcW w:w="5103" w:type="dxa"/>
          </w:tcPr>
          <w:p w14:paraId="72A24913" w14:textId="77777777" w:rsidR="00267CD5" w:rsidRPr="00810989" w:rsidRDefault="00267CD5" w:rsidP="00D43A3A">
            <w:pPr>
              <w:rPr>
                <w:rFonts w:ascii="Arial" w:hAnsi="Arial" w:cs="Arial"/>
                <w:b/>
                <w:sz w:val="28"/>
                <w:szCs w:val="28"/>
              </w:rPr>
            </w:pPr>
            <w:r>
              <w:rPr>
                <w:rFonts w:ascii="Arial" w:hAnsi="Arial" w:cs="Arial"/>
                <w:b/>
                <w:sz w:val="28"/>
                <w:szCs w:val="28"/>
              </w:rPr>
              <w:t>PSG/GM</w:t>
            </w:r>
          </w:p>
        </w:tc>
      </w:tr>
      <w:tr w:rsidR="00267CD5" w:rsidRPr="00810989" w14:paraId="5F509C17" w14:textId="77777777" w:rsidTr="00D43A3A">
        <w:trPr>
          <w:trHeight w:val="495"/>
        </w:trPr>
        <w:tc>
          <w:tcPr>
            <w:tcW w:w="4820" w:type="dxa"/>
          </w:tcPr>
          <w:p w14:paraId="1105D2D2" w14:textId="77777777" w:rsidR="00267CD5" w:rsidRPr="00810989" w:rsidRDefault="00267CD5" w:rsidP="00D43A3A">
            <w:pPr>
              <w:rPr>
                <w:rFonts w:ascii="Arial" w:hAnsi="Arial" w:cs="Arial"/>
                <w:b/>
                <w:sz w:val="28"/>
                <w:szCs w:val="28"/>
              </w:rPr>
            </w:pPr>
            <w:r w:rsidRPr="00810989">
              <w:rPr>
                <w:rFonts w:ascii="Arial" w:hAnsi="Arial" w:cs="Arial"/>
                <w:b/>
                <w:sz w:val="28"/>
                <w:szCs w:val="28"/>
              </w:rPr>
              <w:t>DATE THIS VERSION APPROVED:</w:t>
            </w:r>
          </w:p>
        </w:tc>
        <w:tc>
          <w:tcPr>
            <w:tcW w:w="5103" w:type="dxa"/>
          </w:tcPr>
          <w:p w14:paraId="27756FD9" w14:textId="77777777" w:rsidR="00267CD5" w:rsidRPr="00810989" w:rsidRDefault="00267CD5" w:rsidP="00D43A3A">
            <w:pPr>
              <w:rPr>
                <w:rFonts w:ascii="Arial" w:hAnsi="Arial" w:cs="Arial"/>
                <w:b/>
                <w:sz w:val="28"/>
                <w:szCs w:val="28"/>
              </w:rPr>
            </w:pPr>
            <w:r>
              <w:rPr>
                <w:rFonts w:ascii="Arial" w:hAnsi="Arial" w:cs="Arial"/>
                <w:b/>
                <w:sz w:val="28"/>
                <w:szCs w:val="28"/>
              </w:rPr>
              <w:t>PSG – October 2023</w:t>
            </w:r>
            <w:r>
              <w:rPr>
                <w:rFonts w:ascii="Arial" w:hAnsi="Arial" w:cs="Arial"/>
                <w:b/>
                <w:sz w:val="28"/>
                <w:szCs w:val="28"/>
              </w:rPr>
              <w:br/>
              <w:t xml:space="preserve">GM – November 2023 </w:t>
            </w:r>
          </w:p>
        </w:tc>
      </w:tr>
      <w:tr w:rsidR="00267CD5" w:rsidRPr="00810989" w14:paraId="0878D991" w14:textId="77777777" w:rsidTr="00D43A3A">
        <w:trPr>
          <w:trHeight w:val="495"/>
        </w:trPr>
        <w:tc>
          <w:tcPr>
            <w:tcW w:w="4820" w:type="dxa"/>
          </w:tcPr>
          <w:p w14:paraId="32810A67" w14:textId="77777777" w:rsidR="00267CD5" w:rsidRPr="00810989" w:rsidRDefault="00267CD5" w:rsidP="00D43A3A">
            <w:pPr>
              <w:rPr>
                <w:rFonts w:ascii="Arial" w:hAnsi="Arial" w:cs="Arial"/>
                <w:b/>
                <w:sz w:val="28"/>
                <w:szCs w:val="28"/>
              </w:rPr>
            </w:pPr>
            <w:r w:rsidRPr="00810989">
              <w:rPr>
                <w:rFonts w:ascii="Arial" w:hAnsi="Arial" w:cs="Arial"/>
                <w:b/>
                <w:sz w:val="28"/>
                <w:szCs w:val="28"/>
              </w:rPr>
              <w:t>RATIFYING COMMITTEE</w:t>
            </w:r>
          </w:p>
        </w:tc>
        <w:tc>
          <w:tcPr>
            <w:tcW w:w="5103" w:type="dxa"/>
          </w:tcPr>
          <w:p w14:paraId="1B78E86A" w14:textId="77777777" w:rsidR="00267CD5" w:rsidRPr="00810989" w:rsidRDefault="00267CD5" w:rsidP="00D43A3A">
            <w:pPr>
              <w:rPr>
                <w:rFonts w:ascii="Arial" w:hAnsi="Arial" w:cs="Arial"/>
                <w:b/>
                <w:sz w:val="28"/>
                <w:szCs w:val="28"/>
              </w:rPr>
            </w:pPr>
            <w:r>
              <w:rPr>
                <w:rFonts w:ascii="Arial" w:hAnsi="Arial" w:cs="Arial"/>
                <w:b/>
                <w:sz w:val="28"/>
                <w:szCs w:val="28"/>
              </w:rPr>
              <w:t xml:space="preserve">PARG </w:t>
            </w:r>
            <w:r w:rsidRPr="00C35546">
              <w:rPr>
                <w:rFonts w:ascii="Arial" w:hAnsi="Arial" w:cs="Arial"/>
                <w:b/>
                <w:sz w:val="20"/>
                <w:szCs w:val="20"/>
              </w:rPr>
              <w:t xml:space="preserve">(Policy Approval and Ratification </w:t>
            </w:r>
            <w:r>
              <w:rPr>
                <w:rFonts w:ascii="Arial" w:hAnsi="Arial" w:cs="Arial"/>
                <w:b/>
                <w:sz w:val="20"/>
                <w:szCs w:val="20"/>
              </w:rPr>
              <w:t>Group)</w:t>
            </w:r>
          </w:p>
        </w:tc>
      </w:tr>
      <w:tr w:rsidR="00267CD5" w:rsidRPr="00810989" w14:paraId="7213F58E" w14:textId="77777777" w:rsidTr="00D43A3A">
        <w:trPr>
          <w:trHeight w:val="495"/>
        </w:trPr>
        <w:tc>
          <w:tcPr>
            <w:tcW w:w="4820" w:type="dxa"/>
          </w:tcPr>
          <w:p w14:paraId="1F3F45DA" w14:textId="77777777" w:rsidR="00267CD5" w:rsidRPr="00810989" w:rsidRDefault="00267CD5" w:rsidP="00D43A3A">
            <w:pPr>
              <w:rPr>
                <w:rFonts w:ascii="Arial" w:hAnsi="Arial" w:cs="Arial"/>
                <w:b/>
                <w:sz w:val="28"/>
                <w:szCs w:val="28"/>
              </w:rPr>
            </w:pPr>
            <w:r w:rsidRPr="00810989">
              <w:rPr>
                <w:rFonts w:ascii="Arial" w:hAnsi="Arial" w:cs="Arial"/>
                <w:b/>
                <w:sz w:val="28"/>
                <w:szCs w:val="28"/>
              </w:rPr>
              <w:t>DATE THIS VERSION RATIFIED:</w:t>
            </w:r>
          </w:p>
        </w:tc>
        <w:tc>
          <w:tcPr>
            <w:tcW w:w="5103" w:type="dxa"/>
          </w:tcPr>
          <w:p w14:paraId="59677C2F" w14:textId="77777777" w:rsidR="00267CD5" w:rsidRPr="00810989" w:rsidRDefault="001A1677" w:rsidP="00D43A3A">
            <w:pPr>
              <w:rPr>
                <w:rFonts w:ascii="Arial" w:hAnsi="Arial" w:cs="Arial"/>
                <w:b/>
                <w:sz w:val="28"/>
                <w:szCs w:val="28"/>
              </w:rPr>
            </w:pPr>
            <w:r>
              <w:rPr>
                <w:rFonts w:ascii="Arial" w:hAnsi="Arial" w:cs="Arial"/>
                <w:b/>
                <w:sz w:val="28"/>
                <w:szCs w:val="28"/>
              </w:rPr>
              <w:t>December 2023</w:t>
            </w:r>
          </w:p>
        </w:tc>
      </w:tr>
      <w:tr w:rsidR="00267CD5" w:rsidRPr="00810989" w14:paraId="7A212CBE" w14:textId="77777777" w:rsidTr="00D43A3A">
        <w:trPr>
          <w:trHeight w:val="495"/>
        </w:trPr>
        <w:tc>
          <w:tcPr>
            <w:tcW w:w="4820" w:type="dxa"/>
          </w:tcPr>
          <w:p w14:paraId="02C04AAA" w14:textId="77777777" w:rsidR="00267CD5" w:rsidRPr="00DD37E5" w:rsidRDefault="00267CD5" w:rsidP="00D43A3A">
            <w:pPr>
              <w:rPr>
                <w:rFonts w:ascii="Arial" w:hAnsi="Arial" w:cs="Arial"/>
                <w:sz w:val="28"/>
                <w:szCs w:val="28"/>
              </w:rPr>
            </w:pPr>
            <w:r w:rsidRPr="00810989">
              <w:rPr>
                <w:rFonts w:ascii="Arial" w:hAnsi="Arial" w:cs="Arial"/>
                <w:b/>
                <w:sz w:val="28"/>
                <w:szCs w:val="28"/>
              </w:rPr>
              <w:t xml:space="preserve">AUTHOR (S) </w:t>
            </w:r>
            <w:r w:rsidRPr="00810989">
              <w:rPr>
                <w:rFonts w:ascii="Arial" w:hAnsi="Arial" w:cs="Arial"/>
                <w:sz w:val="28"/>
                <w:szCs w:val="28"/>
              </w:rPr>
              <w:t>(JOB TITLE)</w:t>
            </w:r>
          </w:p>
        </w:tc>
        <w:tc>
          <w:tcPr>
            <w:tcW w:w="5103" w:type="dxa"/>
          </w:tcPr>
          <w:p w14:paraId="25FD1BD3" w14:textId="77777777" w:rsidR="00267CD5" w:rsidRPr="00810989" w:rsidRDefault="00267CD5" w:rsidP="00D43A3A">
            <w:pPr>
              <w:rPr>
                <w:rFonts w:ascii="Arial" w:hAnsi="Arial" w:cs="Arial"/>
                <w:b/>
                <w:sz w:val="28"/>
                <w:szCs w:val="28"/>
              </w:rPr>
            </w:pPr>
            <w:r>
              <w:rPr>
                <w:rFonts w:ascii="Arial" w:hAnsi="Arial" w:cs="Arial"/>
                <w:b/>
                <w:sz w:val="28"/>
                <w:szCs w:val="28"/>
              </w:rPr>
              <w:t xml:space="preserve">Head of Patient Safety </w:t>
            </w:r>
          </w:p>
        </w:tc>
      </w:tr>
      <w:tr w:rsidR="00267CD5" w:rsidRPr="00810989" w14:paraId="328D351C" w14:textId="77777777" w:rsidTr="00D43A3A">
        <w:trPr>
          <w:trHeight w:val="495"/>
        </w:trPr>
        <w:tc>
          <w:tcPr>
            <w:tcW w:w="4820" w:type="dxa"/>
          </w:tcPr>
          <w:p w14:paraId="65BE639E" w14:textId="77777777" w:rsidR="00267CD5" w:rsidRPr="00810989" w:rsidRDefault="00267CD5" w:rsidP="00D43A3A">
            <w:pPr>
              <w:rPr>
                <w:rFonts w:ascii="Arial" w:hAnsi="Arial" w:cs="Arial"/>
                <w:b/>
                <w:sz w:val="28"/>
                <w:szCs w:val="28"/>
              </w:rPr>
            </w:pPr>
            <w:r w:rsidRPr="00810989">
              <w:rPr>
                <w:rFonts w:ascii="Arial" w:hAnsi="Arial" w:cs="Arial"/>
                <w:b/>
                <w:sz w:val="28"/>
                <w:szCs w:val="28"/>
              </w:rPr>
              <w:t>DIVISION/DIRECTORATE:</w:t>
            </w:r>
          </w:p>
        </w:tc>
        <w:tc>
          <w:tcPr>
            <w:tcW w:w="5103" w:type="dxa"/>
          </w:tcPr>
          <w:p w14:paraId="54008222" w14:textId="77777777" w:rsidR="00267CD5" w:rsidRPr="00810989" w:rsidRDefault="00267CD5" w:rsidP="00D43A3A">
            <w:pPr>
              <w:rPr>
                <w:rFonts w:ascii="Arial" w:hAnsi="Arial" w:cs="Arial"/>
                <w:b/>
                <w:sz w:val="28"/>
                <w:szCs w:val="28"/>
              </w:rPr>
            </w:pPr>
            <w:r>
              <w:rPr>
                <w:rFonts w:ascii="Arial" w:hAnsi="Arial" w:cs="Arial"/>
                <w:b/>
                <w:sz w:val="28"/>
                <w:szCs w:val="28"/>
              </w:rPr>
              <w:t xml:space="preserve">Corporate </w:t>
            </w:r>
          </w:p>
        </w:tc>
      </w:tr>
      <w:tr w:rsidR="00267CD5" w:rsidRPr="00810989" w14:paraId="7DC136AF" w14:textId="77777777" w:rsidTr="00D43A3A">
        <w:trPr>
          <w:trHeight w:val="495"/>
        </w:trPr>
        <w:tc>
          <w:tcPr>
            <w:tcW w:w="4820" w:type="dxa"/>
          </w:tcPr>
          <w:p w14:paraId="6E3B3615" w14:textId="77777777" w:rsidR="00267CD5" w:rsidRPr="00810989" w:rsidRDefault="00267CD5" w:rsidP="00D43A3A">
            <w:pPr>
              <w:rPr>
                <w:rFonts w:ascii="Arial" w:hAnsi="Arial" w:cs="Arial"/>
                <w:b/>
                <w:sz w:val="28"/>
                <w:szCs w:val="28"/>
              </w:rPr>
            </w:pPr>
            <w:r w:rsidRPr="00810989">
              <w:rPr>
                <w:rFonts w:ascii="Arial" w:hAnsi="Arial" w:cs="Arial"/>
                <w:b/>
                <w:sz w:val="28"/>
                <w:szCs w:val="28"/>
              </w:rPr>
              <w:t>LINKS TO ANY OTHER POLICIES/PROCEDURES:</w:t>
            </w:r>
          </w:p>
        </w:tc>
        <w:tc>
          <w:tcPr>
            <w:tcW w:w="5103" w:type="dxa"/>
          </w:tcPr>
          <w:p w14:paraId="7096A555" w14:textId="77777777" w:rsidR="00267CD5" w:rsidRPr="00267CD5" w:rsidRDefault="00267CD5" w:rsidP="00D43A3A">
            <w:pPr>
              <w:rPr>
                <w:rFonts w:ascii="Arial" w:hAnsi="Arial" w:cs="Arial"/>
                <w:b/>
                <w:szCs w:val="24"/>
              </w:rPr>
            </w:pPr>
            <w:r w:rsidRPr="00267CD5">
              <w:rPr>
                <w:rFonts w:ascii="Arial" w:hAnsi="Arial" w:cs="Arial"/>
                <w:b/>
                <w:szCs w:val="24"/>
              </w:rPr>
              <w:t xml:space="preserve">TW23-075 – Patient Safety Incident Response Policy </w:t>
            </w:r>
            <w:r w:rsidRPr="00267CD5">
              <w:rPr>
                <w:rFonts w:ascii="Arial" w:hAnsi="Arial" w:cs="Arial"/>
                <w:b/>
                <w:szCs w:val="24"/>
              </w:rPr>
              <w:br/>
              <w:t xml:space="preserve">TW23-075 SOP 1 – Incident Reporting Procedure </w:t>
            </w:r>
          </w:p>
          <w:p w14:paraId="5E51A8AF" w14:textId="77777777" w:rsidR="00267CD5" w:rsidRPr="00810989" w:rsidRDefault="00267CD5" w:rsidP="00D43A3A">
            <w:pPr>
              <w:rPr>
                <w:rFonts w:ascii="Arial" w:hAnsi="Arial" w:cs="Arial"/>
                <w:b/>
                <w:sz w:val="28"/>
                <w:szCs w:val="28"/>
              </w:rPr>
            </w:pPr>
          </w:p>
        </w:tc>
      </w:tr>
      <w:tr w:rsidR="00267CD5" w:rsidRPr="00810989" w14:paraId="58854447" w14:textId="77777777" w:rsidTr="00D43A3A">
        <w:trPr>
          <w:trHeight w:val="495"/>
        </w:trPr>
        <w:tc>
          <w:tcPr>
            <w:tcW w:w="4820" w:type="dxa"/>
          </w:tcPr>
          <w:p w14:paraId="785BD41A" w14:textId="77777777" w:rsidR="00267CD5" w:rsidRPr="00810989" w:rsidRDefault="00267CD5" w:rsidP="00D43A3A">
            <w:pPr>
              <w:rPr>
                <w:rFonts w:ascii="Arial" w:hAnsi="Arial" w:cs="Arial"/>
                <w:b/>
                <w:sz w:val="28"/>
                <w:szCs w:val="28"/>
              </w:rPr>
            </w:pPr>
            <w:r>
              <w:rPr>
                <w:rFonts w:ascii="Arial" w:hAnsi="Arial" w:cs="Arial"/>
                <w:b/>
                <w:sz w:val="28"/>
                <w:szCs w:val="28"/>
              </w:rPr>
              <w:t>CONSULTED WITH:</w:t>
            </w:r>
          </w:p>
        </w:tc>
        <w:tc>
          <w:tcPr>
            <w:tcW w:w="5103" w:type="dxa"/>
          </w:tcPr>
          <w:p w14:paraId="75E4E573" w14:textId="77777777" w:rsidR="00267CD5" w:rsidRDefault="00267CD5" w:rsidP="00267CD5">
            <w:pPr>
              <w:rPr>
                <w:rFonts w:ascii="Arial" w:hAnsi="Arial" w:cs="Arial"/>
                <w:b/>
                <w:sz w:val="28"/>
                <w:szCs w:val="28"/>
              </w:rPr>
            </w:pPr>
            <w:r>
              <w:rPr>
                <w:rFonts w:ascii="Arial" w:hAnsi="Arial" w:cs="Arial"/>
                <w:b/>
                <w:sz w:val="28"/>
                <w:szCs w:val="28"/>
              </w:rPr>
              <w:t xml:space="preserve">PSIRF </w:t>
            </w:r>
            <w:r>
              <w:rPr>
                <w:rFonts w:ascii="Arial" w:hAnsi="Arial" w:cs="Arial"/>
                <w:b/>
                <w:sz w:val="28"/>
                <w:szCs w:val="28"/>
              </w:rPr>
              <w:br/>
              <w:t xml:space="preserve">Task and Finish Group </w:t>
            </w:r>
            <w:r>
              <w:rPr>
                <w:rFonts w:ascii="Arial" w:hAnsi="Arial" w:cs="Arial"/>
                <w:b/>
                <w:sz w:val="28"/>
                <w:szCs w:val="28"/>
              </w:rPr>
              <w:br/>
              <w:t>Patient Safety Group</w:t>
            </w:r>
            <w:r>
              <w:rPr>
                <w:rFonts w:ascii="Arial" w:hAnsi="Arial" w:cs="Arial"/>
                <w:b/>
                <w:sz w:val="28"/>
                <w:szCs w:val="28"/>
              </w:rPr>
              <w:br/>
              <w:t xml:space="preserve">Divisional Teams </w:t>
            </w:r>
          </w:p>
          <w:p w14:paraId="69435E4B" w14:textId="77777777" w:rsidR="00267CD5" w:rsidRPr="00810989" w:rsidRDefault="00267CD5" w:rsidP="00267CD5">
            <w:pPr>
              <w:rPr>
                <w:rFonts w:ascii="Arial" w:hAnsi="Arial" w:cs="Arial"/>
                <w:b/>
                <w:sz w:val="28"/>
                <w:szCs w:val="28"/>
              </w:rPr>
            </w:pPr>
            <w:r>
              <w:rPr>
                <w:rFonts w:ascii="Arial" w:hAnsi="Arial" w:cs="Arial"/>
                <w:b/>
                <w:sz w:val="28"/>
                <w:szCs w:val="28"/>
              </w:rPr>
              <w:t>ICB</w:t>
            </w:r>
            <w:r>
              <w:rPr>
                <w:rFonts w:ascii="Arial" w:hAnsi="Arial" w:cs="Arial"/>
                <w:b/>
                <w:sz w:val="28"/>
                <w:szCs w:val="28"/>
              </w:rPr>
              <w:br/>
              <w:t>Executive Team</w:t>
            </w:r>
          </w:p>
        </w:tc>
      </w:tr>
    </w:tbl>
    <w:p w14:paraId="0B993A41" w14:textId="77777777" w:rsidR="001E2792" w:rsidRDefault="001E2792" w:rsidP="001E2792">
      <w:pPr>
        <w:spacing w:after="360"/>
        <w:ind w:left="-284" w:right="119"/>
        <w:rPr>
          <w:rFonts w:cs="Arial"/>
          <w:color w:val="005EB8"/>
          <w:sz w:val="56"/>
          <w:szCs w:val="56"/>
        </w:rPr>
      </w:pPr>
    </w:p>
    <w:tbl>
      <w:tblPr>
        <w:tblW w:w="9943" w:type="dxa"/>
        <w:tblInd w:w="-34"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4858"/>
        <w:gridCol w:w="2265"/>
        <w:gridCol w:w="2820"/>
      </w:tblGrid>
      <w:tr w:rsidR="00267CD5" w:rsidRPr="00810989" w14:paraId="6ADEC163" w14:textId="77777777" w:rsidTr="00D43A3A">
        <w:trPr>
          <w:trHeight w:val="629"/>
        </w:trPr>
        <w:tc>
          <w:tcPr>
            <w:tcW w:w="4858" w:type="dxa"/>
          </w:tcPr>
          <w:p w14:paraId="105C76A7" w14:textId="77777777" w:rsidR="00267CD5" w:rsidRPr="00810989" w:rsidRDefault="00267CD5" w:rsidP="00D43A3A">
            <w:pPr>
              <w:ind w:left="-36"/>
              <w:rPr>
                <w:rFonts w:ascii="Arial" w:hAnsi="Arial" w:cs="Arial"/>
                <w:b/>
                <w:szCs w:val="24"/>
              </w:rPr>
            </w:pPr>
            <w:r w:rsidRPr="00810989">
              <w:rPr>
                <w:rFonts w:ascii="Arial" w:hAnsi="Arial" w:cs="Arial"/>
                <w:b/>
                <w:szCs w:val="24"/>
              </w:rPr>
              <w:t xml:space="preserve">DATES </w:t>
            </w:r>
            <w:r>
              <w:rPr>
                <w:rFonts w:ascii="Arial" w:hAnsi="Arial" w:cs="Arial"/>
                <w:b/>
                <w:szCs w:val="24"/>
              </w:rPr>
              <w:t xml:space="preserve">PREVIOUS VERSION(s) </w:t>
            </w:r>
            <w:r w:rsidRPr="00810989">
              <w:rPr>
                <w:rFonts w:ascii="Arial" w:hAnsi="Arial" w:cs="Arial"/>
                <w:b/>
                <w:szCs w:val="24"/>
              </w:rPr>
              <w:t>APPROVED</w:t>
            </w:r>
          </w:p>
        </w:tc>
        <w:tc>
          <w:tcPr>
            <w:tcW w:w="2265" w:type="dxa"/>
            <w:tcBorders>
              <w:right w:val="single" w:sz="4" w:space="0" w:color="7030A0"/>
            </w:tcBorders>
          </w:tcPr>
          <w:p w14:paraId="4640B07F" w14:textId="77777777" w:rsidR="00267CD5" w:rsidRPr="00D35D35" w:rsidRDefault="00267CD5" w:rsidP="00D43A3A">
            <w:pPr>
              <w:rPr>
                <w:rFonts w:ascii="Arial" w:hAnsi="Arial" w:cs="Arial"/>
                <w:b/>
                <w:bCs w:val="0"/>
                <w:sz w:val="20"/>
                <w:szCs w:val="20"/>
              </w:rPr>
            </w:pPr>
            <w:r w:rsidRPr="00D35D35">
              <w:rPr>
                <w:rFonts w:ascii="Arial" w:hAnsi="Arial" w:cs="Arial"/>
                <w:b/>
                <w:bCs w:val="0"/>
                <w:sz w:val="20"/>
                <w:szCs w:val="20"/>
              </w:rPr>
              <w:t>Version</w:t>
            </w:r>
            <w:r>
              <w:rPr>
                <w:rFonts w:ascii="Arial" w:hAnsi="Arial" w:cs="Arial"/>
                <w:b/>
                <w:bCs w:val="0"/>
                <w:sz w:val="20"/>
                <w:szCs w:val="20"/>
              </w:rPr>
              <w:t>:</w:t>
            </w:r>
          </w:p>
        </w:tc>
        <w:tc>
          <w:tcPr>
            <w:tcW w:w="2820" w:type="dxa"/>
            <w:tcBorders>
              <w:left w:val="single" w:sz="4" w:space="0" w:color="7030A0"/>
            </w:tcBorders>
          </w:tcPr>
          <w:p w14:paraId="3ABFCB15" w14:textId="77777777" w:rsidR="00267CD5" w:rsidRPr="00D35D35" w:rsidRDefault="00267CD5" w:rsidP="00D43A3A">
            <w:pPr>
              <w:rPr>
                <w:rFonts w:ascii="Arial" w:hAnsi="Arial" w:cs="Arial"/>
                <w:b/>
                <w:bCs w:val="0"/>
                <w:sz w:val="20"/>
                <w:szCs w:val="20"/>
              </w:rPr>
            </w:pPr>
            <w:r w:rsidRPr="00D35D35">
              <w:rPr>
                <w:rFonts w:ascii="Arial" w:hAnsi="Arial" w:cs="Arial"/>
                <w:b/>
                <w:bCs w:val="0"/>
                <w:sz w:val="20"/>
                <w:szCs w:val="20"/>
              </w:rPr>
              <w:t>Date</w:t>
            </w:r>
            <w:r>
              <w:rPr>
                <w:rFonts w:ascii="Arial" w:hAnsi="Arial" w:cs="Arial"/>
                <w:b/>
                <w:bCs w:val="0"/>
                <w:sz w:val="20"/>
                <w:szCs w:val="20"/>
              </w:rPr>
              <w:t>:</w:t>
            </w:r>
          </w:p>
        </w:tc>
      </w:tr>
      <w:tr w:rsidR="00267CD5" w:rsidRPr="00810989" w14:paraId="0EDFCBCD" w14:textId="77777777" w:rsidTr="00D43A3A">
        <w:trPr>
          <w:trHeight w:val="442"/>
        </w:trPr>
        <w:tc>
          <w:tcPr>
            <w:tcW w:w="4858" w:type="dxa"/>
          </w:tcPr>
          <w:p w14:paraId="7EADEE38" w14:textId="77777777" w:rsidR="00267CD5" w:rsidRPr="00810989" w:rsidRDefault="00267CD5" w:rsidP="00D43A3A">
            <w:pPr>
              <w:ind w:left="-36"/>
              <w:rPr>
                <w:rFonts w:ascii="Arial" w:hAnsi="Arial" w:cs="Arial"/>
                <w:b/>
                <w:color w:val="FF0000"/>
                <w:szCs w:val="24"/>
              </w:rPr>
            </w:pPr>
            <w:r w:rsidRPr="00810989">
              <w:rPr>
                <w:rFonts w:ascii="Arial" w:hAnsi="Arial" w:cs="Arial"/>
                <w:b/>
                <w:color w:val="FF0000"/>
                <w:szCs w:val="24"/>
              </w:rPr>
              <w:t>NEXT REVIEW DATE:</w:t>
            </w:r>
          </w:p>
        </w:tc>
        <w:tc>
          <w:tcPr>
            <w:tcW w:w="5085" w:type="dxa"/>
            <w:gridSpan w:val="2"/>
          </w:tcPr>
          <w:p w14:paraId="7198D2E7" w14:textId="77777777" w:rsidR="00267CD5" w:rsidRPr="00810989" w:rsidRDefault="00267CD5" w:rsidP="00D43A3A">
            <w:pPr>
              <w:rPr>
                <w:rFonts w:ascii="Arial" w:hAnsi="Arial" w:cs="Arial"/>
                <w:b/>
                <w:color w:val="FF0000"/>
                <w:szCs w:val="24"/>
              </w:rPr>
            </w:pPr>
            <w:r>
              <w:rPr>
                <w:rFonts w:ascii="Arial" w:hAnsi="Arial" w:cs="Arial"/>
                <w:b/>
                <w:color w:val="FF0000"/>
                <w:szCs w:val="24"/>
              </w:rPr>
              <w:t>December 202</w:t>
            </w:r>
            <w:r w:rsidR="001A1677">
              <w:rPr>
                <w:rFonts w:ascii="Arial" w:hAnsi="Arial" w:cs="Arial"/>
                <w:b/>
                <w:color w:val="FF0000"/>
                <w:szCs w:val="24"/>
              </w:rPr>
              <w:t>6</w:t>
            </w:r>
          </w:p>
        </w:tc>
      </w:tr>
      <w:tr w:rsidR="00267CD5" w:rsidRPr="00810989" w14:paraId="6309F973" w14:textId="77777777" w:rsidTr="00D43A3A">
        <w:trPr>
          <w:trHeight w:val="527"/>
        </w:trPr>
        <w:tc>
          <w:tcPr>
            <w:tcW w:w="4858" w:type="dxa"/>
          </w:tcPr>
          <w:p w14:paraId="3A9A2FE5" w14:textId="77777777" w:rsidR="00267CD5" w:rsidRPr="00810989" w:rsidRDefault="00267CD5" w:rsidP="00D43A3A">
            <w:pPr>
              <w:ind w:left="-36"/>
              <w:rPr>
                <w:rFonts w:ascii="Arial" w:hAnsi="Arial" w:cs="Arial"/>
                <w:b/>
                <w:szCs w:val="24"/>
              </w:rPr>
            </w:pPr>
            <w:r w:rsidRPr="00810989">
              <w:rPr>
                <w:rFonts w:ascii="Arial" w:hAnsi="Arial" w:cs="Arial"/>
                <w:b/>
                <w:szCs w:val="24"/>
              </w:rPr>
              <w:t>MANAGER RESPONSIBLE FOR REVIEW (</w:t>
            </w:r>
            <w:r w:rsidRPr="00A1055F">
              <w:rPr>
                <w:rFonts w:ascii="Arial" w:hAnsi="Arial" w:cs="Arial"/>
                <w:b/>
                <w:sz w:val="20"/>
                <w:szCs w:val="20"/>
              </w:rPr>
              <w:t>Must be Authors Line Manager</w:t>
            </w:r>
            <w:r w:rsidRPr="00810989">
              <w:rPr>
                <w:rFonts w:ascii="Arial" w:hAnsi="Arial" w:cs="Arial"/>
                <w:b/>
                <w:szCs w:val="24"/>
              </w:rPr>
              <w:t>)</w:t>
            </w:r>
          </w:p>
        </w:tc>
        <w:tc>
          <w:tcPr>
            <w:tcW w:w="5085" w:type="dxa"/>
            <w:gridSpan w:val="2"/>
          </w:tcPr>
          <w:p w14:paraId="482C356A" w14:textId="77777777" w:rsidR="00267CD5" w:rsidRPr="00810989" w:rsidRDefault="001A1677" w:rsidP="00D43A3A">
            <w:pPr>
              <w:rPr>
                <w:rFonts w:ascii="Arial" w:hAnsi="Arial" w:cs="Arial"/>
                <w:b/>
                <w:szCs w:val="24"/>
              </w:rPr>
            </w:pPr>
            <w:r>
              <w:rPr>
                <w:rFonts w:ascii="Arial" w:hAnsi="Arial" w:cs="Arial"/>
                <w:b/>
                <w:szCs w:val="24"/>
              </w:rPr>
              <w:t>Associate Director of Governance &amp; Patient Safety</w:t>
            </w:r>
          </w:p>
        </w:tc>
      </w:tr>
    </w:tbl>
    <w:p w14:paraId="10B397BB" w14:textId="77777777" w:rsidR="00DC4755" w:rsidRPr="00DC4755" w:rsidRDefault="00DC4755" w:rsidP="00DC4755">
      <w:pPr>
        <w:spacing w:after="280"/>
        <w:ind w:left="720" w:hanging="578"/>
        <w:rPr>
          <w:rFonts w:cs="Arial"/>
          <w:szCs w:val="24"/>
        </w:rPr>
      </w:pPr>
    </w:p>
    <w:p w14:paraId="54D0AA70" w14:textId="77777777" w:rsidR="001E2792" w:rsidRPr="00093384" w:rsidRDefault="001E2792" w:rsidP="001E2792"/>
    <w:p w14:paraId="64276BCB" w14:textId="77777777" w:rsidR="001E2792" w:rsidRPr="00267CD5" w:rsidRDefault="001E2792" w:rsidP="00267CD5">
      <w:pPr>
        <w:rPr>
          <w:rFonts w:eastAsia="Calibri" w:cs="Arial"/>
          <w:b/>
          <w:color w:val="00B050"/>
        </w:rPr>
      </w:pPr>
      <w:r w:rsidRPr="00782DF6">
        <w:rPr>
          <w:rFonts w:eastAsia="Calibri" w:cs="Arial"/>
          <w:szCs w:val="24"/>
        </w:rPr>
        <w:t>Foreword</w:t>
      </w:r>
    </w:p>
    <w:p w14:paraId="575F342B" w14:textId="77777777" w:rsidR="001E2792" w:rsidRPr="00782DF6" w:rsidRDefault="001E2792" w:rsidP="001E2792">
      <w:pPr>
        <w:jc w:val="both"/>
        <w:rPr>
          <w:rFonts w:eastAsia="Calibri" w:cs="Arial"/>
          <w:bCs w:val="0"/>
          <w:szCs w:val="24"/>
        </w:rPr>
      </w:pPr>
    </w:p>
    <w:p w14:paraId="7A614543" w14:textId="77777777" w:rsidR="001E2792" w:rsidRPr="00782DF6" w:rsidRDefault="001E2792" w:rsidP="001E2792">
      <w:pPr>
        <w:jc w:val="both"/>
        <w:rPr>
          <w:rFonts w:eastAsia="Calibri" w:cs="Arial"/>
          <w:bCs w:val="0"/>
          <w:i/>
          <w:iCs/>
          <w:szCs w:val="24"/>
        </w:rPr>
      </w:pPr>
      <w:r w:rsidRPr="00782DF6">
        <w:rPr>
          <w:rFonts w:eastAsia="Calibri" w:cs="Arial"/>
          <w:i/>
          <w:iCs/>
          <w:szCs w:val="24"/>
        </w:rPr>
        <w:t>“The introduction of this framework represents a significant shift in the way the NHS responds to patient safety incidents, increasing focus on understanding how incidents happen – including the factors which contribute to them.</w:t>
      </w:r>
      <w:r>
        <w:rPr>
          <w:rFonts w:eastAsia="Calibri" w:cs="Arial"/>
          <w:i/>
          <w:iCs/>
          <w:szCs w:val="24"/>
        </w:rPr>
        <w:t>”</w:t>
      </w:r>
      <w:r w:rsidRPr="00782DF6">
        <w:rPr>
          <w:rFonts w:eastAsia="Calibri" w:cs="Arial"/>
          <w:i/>
          <w:iCs/>
          <w:szCs w:val="24"/>
        </w:rPr>
        <w:t xml:space="preserve"> </w:t>
      </w:r>
    </w:p>
    <w:p w14:paraId="00AB0DE9" w14:textId="77777777" w:rsidR="001E2792" w:rsidRPr="00CA433D" w:rsidRDefault="001E2792" w:rsidP="001E2792">
      <w:pPr>
        <w:jc w:val="both"/>
        <w:rPr>
          <w:rFonts w:eastAsia="Calibri" w:cs="Arial"/>
          <w:bCs w:val="0"/>
          <w:sz w:val="8"/>
          <w:szCs w:val="8"/>
          <w:vertAlign w:val="superscript"/>
        </w:rPr>
      </w:pPr>
    </w:p>
    <w:p w14:paraId="3D414CC8" w14:textId="77777777" w:rsidR="001E2792" w:rsidRDefault="001E2792" w:rsidP="001E2792">
      <w:pPr>
        <w:jc w:val="both"/>
        <w:rPr>
          <w:rFonts w:eastAsia="Calibri" w:cs="Arial"/>
          <w:bCs w:val="0"/>
          <w:szCs w:val="24"/>
        </w:rPr>
      </w:pPr>
      <w:r w:rsidRPr="00782DF6">
        <w:rPr>
          <w:rFonts w:eastAsia="Calibri" w:cs="Arial"/>
          <w:szCs w:val="24"/>
        </w:rPr>
        <w:t>Aidan Fowler, National Director of Patient Safety, NHS England</w:t>
      </w:r>
    </w:p>
    <w:p w14:paraId="0D2B63C9" w14:textId="77777777" w:rsidR="001E2792" w:rsidRPr="00CA433D" w:rsidRDefault="001E2792" w:rsidP="001E2792">
      <w:pPr>
        <w:jc w:val="both"/>
        <w:rPr>
          <w:rFonts w:eastAsia="Calibri" w:cs="Arial"/>
          <w:bCs w:val="0"/>
          <w:sz w:val="16"/>
          <w:szCs w:val="16"/>
        </w:rPr>
      </w:pPr>
    </w:p>
    <w:p w14:paraId="549FCDC4" w14:textId="77777777" w:rsidR="001E2792" w:rsidRDefault="001E2792" w:rsidP="001E2792">
      <w:pPr>
        <w:jc w:val="both"/>
        <w:rPr>
          <w:rFonts w:eastAsia="Calibri" w:cs="Arial"/>
          <w:bCs w:val="0"/>
          <w:szCs w:val="24"/>
        </w:rPr>
      </w:pPr>
      <w:r>
        <w:rPr>
          <w:rFonts w:eastAsia="Calibri" w:cs="Arial"/>
          <w:szCs w:val="24"/>
        </w:rPr>
        <w:t xml:space="preserve">The </w:t>
      </w:r>
      <w:r w:rsidRPr="00782DF6">
        <w:rPr>
          <w:rFonts w:eastAsia="Calibri" w:cs="Arial"/>
          <w:szCs w:val="24"/>
        </w:rPr>
        <w:t>P</w:t>
      </w:r>
      <w:r>
        <w:rPr>
          <w:rFonts w:eastAsia="Calibri" w:cs="Arial"/>
          <w:szCs w:val="24"/>
        </w:rPr>
        <w:t xml:space="preserve">atient </w:t>
      </w:r>
      <w:r w:rsidRPr="00782DF6">
        <w:rPr>
          <w:rFonts w:eastAsia="Calibri" w:cs="Arial"/>
          <w:szCs w:val="24"/>
        </w:rPr>
        <w:t>S</w:t>
      </w:r>
      <w:r>
        <w:rPr>
          <w:rFonts w:eastAsia="Calibri" w:cs="Arial"/>
          <w:szCs w:val="24"/>
        </w:rPr>
        <w:t>afety Incident Response Framework (PS</w:t>
      </w:r>
      <w:r w:rsidRPr="00782DF6">
        <w:rPr>
          <w:rFonts w:eastAsia="Calibri" w:cs="Arial"/>
          <w:szCs w:val="24"/>
        </w:rPr>
        <w:t>IR</w:t>
      </w:r>
      <w:r>
        <w:rPr>
          <w:rFonts w:eastAsia="Calibri" w:cs="Arial"/>
          <w:szCs w:val="24"/>
        </w:rPr>
        <w:t>)</w:t>
      </w:r>
      <w:r w:rsidRPr="00782DF6">
        <w:rPr>
          <w:rFonts w:eastAsia="Calibri" w:cs="Arial"/>
          <w:szCs w:val="24"/>
        </w:rPr>
        <w:t xml:space="preserve"> </w:t>
      </w:r>
      <w:r>
        <w:rPr>
          <w:rFonts w:eastAsia="Calibri" w:cs="Arial"/>
          <w:szCs w:val="24"/>
        </w:rPr>
        <w:t>sets out a</w:t>
      </w:r>
      <w:r w:rsidRPr="00782DF6">
        <w:rPr>
          <w:rFonts w:eastAsia="Calibri" w:cs="Arial"/>
          <w:szCs w:val="24"/>
        </w:rPr>
        <w:t xml:space="preserve"> </w:t>
      </w:r>
      <w:r>
        <w:rPr>
          <w:rFonts w:eastAsia="Calibri" w:cs="Arial"/>
          <w:szCs w:val="24"/>
        </w:rPr>
        <w:t xml:space="preserve">new and completely </w:t>
      </w:r>
      <w:r w:rsidRPr="00782DF6">
        <w:rPr>
          <w:rFonts w:eastAsia="Calibri" w:cs="Arial"/>
          <w:szCs w:val="24"/>
        </w:rPr>
        <w:t xml:space="preserve">different approach to how we respond to patient safety incidents. This is not a change </w:t>
      </w:r>
      <w:r>
        <w:rPr>
          <w:rFonts w:eastAsia="Calibri" w:cs="Arial"/>
          <w:szCs w:val="24"/>
        </w:rPr>
        <w:t>where we do the</w:t>
      </w:r>
      <w:r w:rsidRPr="00782DF6">
        <w:rPr>
          <w:rFonts w:eastAsia="Calibri" w:cs="Arial"/>
          <w:szCs w:val="24"/>
        </w:rPr>
        <w:t xml:space="preserve"> same thing but call it something different</w:t>
      </w:r>
      <w:r>
        <w:rPr>
          <w:rFonts w:eastAsia="Calibri" w:cs="Arial"/>
          <w:szCs w:val="24"/>
        </w:rPr>
        <w:t>, this is</w:t>
      </w:r>
      <w:r w:rsidRPr="00782DF6">
        <w:rPr>
          <w:rFonts w:eastAsia="Calibri" w:cs="Arial"/>
          <w:szCs w:val="24"/>
        </w:rPr>
        <w:t xml:space="preserve"> a cultural and </w:t>
      </w:r>
      <w:r>
        <w:rPr>
          <w:rFonts w:eastAsia="Calibri" w:cs="Arial"/>
          <w:szCs w:val="24"/>
        </w:rPr>
        <w:t xml:space="preserve">whole </w:t>
      </w:r>
      <w:r w:rsidRPr="00782DF6">
        <w:rPr>
          <w:rFonts w:eastAsia="Calibri" w:cs="Arial"/>
          <w:szCs w:val="24"/>
        </w:rPr>
        <w:t xml:space="preserve">system shift in </w:t>
      </w:r>
      <w:r>
        <w:rPr>
          <w:rFonts w:eastAsia="Calibri" w:cs="Arial"/>
          <w:szCs w:val="24"/>
        </w:rPr>
        <w:t xml:space="preserve">the way we </w:t>
      </w:r>
      <w:r w:rsidRPr="00782DF6">
        <w:rPr>
          <w:rFonts w:eastAsia="Calibri" w:cs="Arial"/>
          <w:szCs w:val="24"/>
        </w:rPr>
        <w:t>think</w:t>
      </w:r>
      <w:r>
        <w:rPr>
          <w:rFonts w:eastAsia="Calibri" w:cs="Arial"/>
          <w:szCs w:val="24"/>
        </w:rPr>
        <w:t xml:space="preserve"> about</w:t>
      </w:r>
      <w:r w:rsidRPr="00782DF6">
        <w:rPr>
          <w:rFonts w:eastAsia="Calibri" w:cs="Arial"/>
          <w:szCs w:val="24"/>
        </w:rPr>
        <w:t xml:space="preserve"> and response to patient safety incidents and </w:t>
      </w:r>
      <w:r>
        <w:rPr>
          <w:rFonts w:eastAsia="Calibri" w:cs="Arial"/>
          <w:szCs w:val="24"/>
        </w:rPr>
        <w:t xml:space="preserve">importantly </w:t>
      </w:r>
      <w:r w:rsidRPr="00782DF6">
        <w:rPr>
          <w:rFonts w:eastAsia="Calibri" w:cs="Arial"/>
          <w:szCs w:val="24"/>
        </w:rPr>
        <w:t>how we work</w:t>
      </w:r>
      <w:r>
        <w:rPr>
          <w:rFonts w:eastAsia="Calibri" w:cs="Arial"/>
          <w:szCs w:val="24"/>
        </w:rPr>
        <w:t xml:space="preserve"> together</w:t>
      </w:r>
      <w:r w:rsidRPr="00782DF6">
        <w:rPr>
          <w:rFonts w:eastAsia="Calibri" w:cs="Arial"/>
          <w:szCs w:val="24"/>
        </w:rPr>
        <w:t xml:space="preserve"> to prevent </w:t>
      </w:r>
      <w:r>
        <w:rPr>
          <w:rFonts w:eastAsia="Calibri" w:cs="Arial"/>
          <w:szCs w:val="24"/>
        </w:rPr>
        <w:t>similar</w:t>
      </w:r>
      <w:r w:rsidRPr="00782DF6">
        <w:rPr>
          <w:rFonts w:eastAsia="Calibri" w:cs="Arial"/>
          <w:szCs w:val="24"/>
        </w:rPr>
        <w:t xml:space="preserve"> incident</w:t>
      </w:r>
      <w:r>
        <w:rPr>
          <w:rFonts w:eastAsia="Calibri" w:cs="Arial"/>
          <w:szCs w:val="24"/>
        </w:rPr>
        <w:t>s</w:t>
      </w:r>
      <w:r w:rsidRPr="00782DF6">
        <w:rPr>
          <w:rFonts w:eastAsia="Calibri" w:cs="Arial"/>
          <w:szCs w:val="24"/>
        </w:rPr>
        <w:t xml:space="preserve"> </w:t>
      </w:r>
      <w:r>
        <w:rPr>
          <w:rFonts w:eastAsia="Calibri" w:cs="Arial"/>
          <w:szCs w:val="24"/>
        </w:rPr>
        <w:t xml:space="preserve">from </w:t>
      </w:r>
      <w:r w:rsidRPr="00782DF6">
        <w:rPr>
          <w:rFonts w:eastAsia="Calibri" w:cs="Arial"/>
          <w:szCs w:val="24"/>
        </w:rPr>
        <w:t>happening again. Our challenge is to shift the focus away from investigating</w:t>
      </w:r>
      <w:r>
        <w:rPr>
          <w:rFonts w:eastAsia="Calibri" w:cs="Arial"/>
          <w:szCs w:val="24"/>
        </w:rPr>
        <w:t xml:space="preserve"> and</w:t>
      </w:r>
      <w:r w:rsidRPr="00782DF6">
        <w:rPr>
          <w:rFonts w:eastAsia="Calibri" w:cs="Arial"/>
          <w:szCs w:val="24"/>
        </w:rPr>
        <w:t xml:space="preserve"> produc</w:t>
      </w:r>
      <w:r>
        <w:rPr>
          <w:rFonts w:eastAsia="Calibri" w:cs="Arial"/>
          <w:szCs w:val="24"/>
        </w:rPr>
        <w:t xml:space="preserve">ing </w:t>
      </w:r>
      <w:r w:rsidRPr="00782DF6">
        <w:rPr>
          <w:rFonts w:eastAsia="Calibri" w:cs="Arial"/>
          <w:szCs w:val="24"/>
        </w:rPr>
        <w:t xml:space="preserve">a </w:t>
      </w:r>
      <w:proofErr w:type="gramStart"/>
      <w:r w:rsidRPr="00782DF6">
        <w:rPr>
          <w:rFonts w:eastAsia="Calibri" w:cs="Arial"/>
          <w:szCs w:val="24"/>
        </w:rPr>
        <w:t>report</w:t>
      </w:r>
      <w:r>
        <w:rPr>
          <w:rFonts w:eastAsia="Calibri" w:cs="Arial"/>
          <w:szCs w:val="24"/>
        </w:rPr>
        <w:t>s</w:t>
      </w:r>
      <w:proofErr w:type="gramEnd"/>
      <w:r w:rsidRPr="00782DF6">
        <w:rPr>
          <w:rFonts w:eastAsia="Calibri" w:cs="Arial"/>
          <w:szCs w:val="24"/>
        </w:rPr>
        <w:t xml:space="preserve"> because it might meet specific criteria in a </w:t>
      </w:r>
      <w:proofErr w:type="gramStart"/>
      <w:r w:rsidRPr="00782DF6">
        <w:rPr>
          <w:rFonts w:eastAsia="Calibri" w:cs="Arial"/>
          <w:szCs w:val="24"/>
        </w:rPr>
        <w:t>framework</w:t>
      </w:r>
      <w:r>
        <w:rPr>
          <w:rFonts w:eastAsia="Calibri" w:cs="Arial"/>
          <w:szCs w:val="24"/>
        </w:rPr>
        <w:t>,</w:t>
      </w:r>
      <w:r w:rsidRPr="00782DF6">
        <w:rPr>
          <w:rFonts w:eastAsia="Calibri" w:cs="Arial"/>
          <w:szCs w:val="24"/>
        </w:rPr>
        <w:t xml:space="preserve"> and</w:t>
      </w:r>
      <w:proofErr w:type="gramEnd"/>
      <w:r w:rsidRPr="00782DF6">
        <w:rPr>
          <w:rFonts w:eastAsia="Calibri" w:cs="Arial"/>
          <w:szCs w:val="24"/>
        </w:rPr>
        <w:t xml:space="preserve"> </w:t>
      </w:r>
      <w:r>
        <w:rPr>
          <w:rFonts w:eastAsia="Calibri" w:cs="Arial"/>
          <w:szCs w:val="24"/>
        </w:rPr>
        <w:t xml:space="preserve">move </w:t>
      </w:r>
      <w:r w:rsidRPr="00782DF6">
        <w:rPr>
          <w:rFonts w:eastAsia="Calibri" w:cs="Arial"/>
          <w:szCs w:val="24"/>
        </w:rPr>
        <w:t>towards an emphasis on the outcomes of patient safety incident responses that support</w:t>
      </w:r>
      <w:r>
        <w:rPr>
          <w:rFonts w:eastAsia="Calibri" w:cs="Arial"/>
          <w:szCs w:val="24"/>
        </w:rPr>
        <w:t xml:space="preserve"> shared</w:t>
      </w:r>
      <w:r w:rsidRPr="00782DF6">
        <w:rPr>
          <w:rFonts w:eastAsia="Calibri" w:cs="Arial"/>
          <w:szCs w:val="24"/>
        </w:rPr>
        <w:t xml:space="preserve"> learning and improvement to prevent recurrence. </w:t>
      </w:r>
    </w:p>
    <w:p w14:paraId="11A5B771" w14:textId="77777777" w:rsidR="001E2792" w:rsidRPr="00CA433D" w:rsidRDefault="001E2792" w:rsidP="001E2792">
      <w:pPr>
        <w:jc w:val="both"/>
        <w:rPr>
          <w:rFonts w:eastAsia="Calibri" w:cs="Arial"/>
          <w:bCs w:val="0"/>
          <w:sz w:val="16"/>
          <w:szCs w:val="16"/>
        </w:rPr>
      </w:pPr>
    </w:p>
    <w:p w14:paraId="1D7B185C" w14:textId="77777777" w:rsidR="001E2792" w:rsidRDefault="001E2792" w:rsidP="001E2792">
      <w:pPr>
        <w:jc w:val="both"/>
        <w:rPr>
          <w:rFonts w:eastAsia="Calibri" w:cs="Arial"/>
          <w:bCs w:val="0"/>
          <w:szCs w:val="24"/>
        </w:rPr>
      </w:pPr>
      <w:r w:rsidRPr="00782DF6">
        <w:rPr>
          <w:rFonts w:eastAsia="Calibri" w:cs="Arial"/>
          <w:szCs w:val="24"/>
        </w:rPr>
        <w:t xml:space="preserve">PSIRF gives us a set of principles </w:t>
      </w:r>
      <w:r>
        <w:rPr>
          <w:rFonts w:eastAsia="Calibri" w:cs="Arial"/>
          <w:szCs w:val="24"/>
        </w:rPr>
        <w:t>to</w:t>
      </w:r>
      <w:r w:rsidRPr="00782DF6">
        <w:rPr>
          <w:rFonts w:eastAsia="Calibri" w:cs="Arial"/>
          <w:szCs w:val="24"/>
        </w:rPr>
        <w:t xml:space="preserve"> work </w:t>
      </w:r>
      <w:r>
        <w:rPr>
          <w:rFonts w:eastAsia="Calibri" w:cs="Arial"/>
          <w:szCs w:val="24"/>
        </w:rPr>
        <w:t xml:space="preserve">with </w:t>
      </w:r>
      <w:r w:rsidRPr="00782DF6">
        <w:rPr>
          <w:rFonts w:eastAsia="Calibri" w:cs="Arial"/>
          <w:szCs w:val="24"/>
        </w:rPr>
        <w:t xml:space="preserve">and </w:t>
      </w:r>
      <w:r>
        <w:rPr>
          <w:rFonts w:eastAsia="Calibri" w:cs="Arial"/>
          <w:szCs w:val="24"/>
        </w:rPr>
        <w:t xml:space="preserve">provides the </w:t>
      </w:r>
      <w:r w:rsidRPr="00782DF6">
        <w:rPr>
          <w:rFonts w:eastAsia="Calibri" w:cs="Arial"/>
          <w:szCs w:val="24"/>
        </w:rPr>
        <w:t xml:space="preserve">opportunity to take accountability for the management of our learning responses to patient safety incidents with the aim </w:t>
      </w:r>
      <w:r>
        <w:rPr>
          <w:rFonts w:eastAsia="Calibri" w:cs="Arial"/>
          <w:szCs w:val="24"/>
        </w:rPr>
        <w:t>being to</w:t>
      </w:r>
      <w:r w:rsidRPr="00782DF6">
        <w:rPr>
          <w:rFonts w:eastAsia="Calibri" w:cs="Arial"/>
          <w:szCs w:val="24"/>
        </w:rPr>
        <w:t xml:space="preserve"> learn and improve. We </w:t>
      </w:r>
      <w:r>
        <w:rPr>
          <w:rFonts w:eastAsia="Calibri" w:cs="Arial"/>
          <w:szCs w:val="24"/>
        </w:rPr>
        <w:t>have always</w:t>
      </w:r>
      <w:r w:rsidRPr="00782DF6">
        <w:rPr>
          <w:rFonts w:eastAsia="Calibri" w:cs="Arial"/>
          <w:szCs w:val="24"/>
        </w:rPr>
        <w:t xml:space="preserve"> investigate</w:t>
      </w:r>
      <w:r>
        <w:rPr>
          <w:rFonts w:eastAsia="Calibri" w:cs="Arial"/>
          <w:szCs w:val="24"/>
        </w:rPr>
        <w:t>d</w:t>
      </w:r>
      <w:r w:rsidRPr="00782DF6">
        <w:rPr>
          <w:rFonts w:eastAsia="Calibri" w:cs="Arial"/>
          <w:szCs w:val="24"/>
        </w:rPr>
        <w:t xml:space="preserve"> incidents to </w:t>
      </w:r>
      <w:r>
        <w:rPr>
          <w:rFonts w:eastAsia="Calibri" w:cs="Arial"/>
          <w:szCs w:val="24"/>
        </w:rPr>
        <w:t xml:space="preserve">drive </w:t>
      </w:r>
      <w:proofErr w:type="gramStart"/>
      <w:r w:rsidRPr="00782DF6">
        <w:rPr>
          <w:rFonts w:eastAsia="Calibri" w:cs="Arial"/>
          <w:szCs w:val="24"/>
        </w:rPr>
        <w:t>learn</w:t>
      </w:r>
      <w:r>
        <w:rPr>
          <w:rFonts w:eastAsia="Calibri" w:cs="Arial"/>
          <w:szCs w:val="24"/>
        </w:rPr>
        <w:t>ing</w:t>
      </w:r>
      <w:proofErr w:type="gramEnd"/>
      <w:r w:rsidRPr="00782DF6">
        <w:rPr>
          <w:rFonts w:eastAsia="Calibri" w:cs="Arial"/>
          <w:szCs w:val="24"/>
        </w:rPr>
        <w:t xml:space="preserve"> but </w:t>
      </w:r>
      <w:r>
        <w:rPr>
          <w:rFonts w:eastAsia="Calibri" w:cs="Arial"/>
          <w:szCs w:val="24"/>
        </w:rPr>
        <w:t xml:space="preserve">it </w:t>
      </w:r>
      <w:proofErr w:type="gramStart"/>
      <w:r>
        <w:rPr>
          <w:rFonts w:eastAsia="Calibri" w:cs="Arial"/>
          <w:szCs w:val="24"/>
        </w:rPr>
        <w:t>has to</w:t>
      </w:r>
      <w:proofErr w:type="gramEnd"/>
      <w:r>
        <w:rPr>
          <w:rFonts w:eastAsia="Calibri" w:cs="Arial"/>
          <w:szCs w:val="24"/>
        </w:rPr>
        <w:t xml:space="preserve"> be </w:t>
      </w:r>
      <w:proofErr w:type="gramStart"/>
      <w:r w:rsidRPr="00782DF6">
        <w:rPr>
          <w:rFonts w:eastAsia="Calibri" w:cs="Arial"/>
          <w:szCs w:val="24"/>
        </w:rPr>
        <w:t>acknowledge</w:t>
      </w:r>
      <w:proofErr w:type="gramEnd"/>
      <w:r w:rsidRPr="00782DF6">
        <w:rPr>
          <w:rFonts w:eastAsia="Calibri" w:cs="Arial"/>
          <w:szCs w:val="24"/>
        </w:rPr>
        <w:t xml:space="preserve"> that previous emphasis </w:t>
      </w:r>
      <w:r>
        <w:rPr>
          <w:rFonts w:eastAsia="Calibri" w:cs="Arial"/>
          <w:szCs w:val="24"/>
        </w:rPr>
        <w:t xml:space="preserve">has been on </w:t>
      </w:r>
      <w:r w:rsidRPr="00782DF6">
        <w:rPr>
          <w:rFonts w:eastAsia="Calibri" w:cs="Arial"/>
          <w:szCs w:val="24"/>
        </w:rPr>
        <w:t>the production of a report</w:t>
      </w:r>
      <w:r>
        <w:rPr>
          <w:rFonts w:eastAsia="Calibri" w:cs="Arial"/>
          <w:szCs w:val="24"/>
        </w:rPr>
        <w:t xml:space="preserve"> and action plan within directed timeframes</w:t>
      </w:r>
      <w:r w:rsidRPr="00782DF6">
        <w:rPr>
          <w:rFonts w:eastAsia="Calibri" w:cs="Arial"/>
          <w:szCs w:val="24"/>
        </w:rPr>
        <w:t xml:space="preserve">, that is how we have been measured, rather than on </w:t>
      </w:r>
      <w:r>
        <w:rPr>
          <w:rFonts w:eastAsia="Calibri" w:cs="Arial"/>
          <w:szCs w:val="24"/>
        </w:rPr>
        <w:t xml:space="preserve">demonstrating </w:t>
      </w:r>
      <w:r w:rsidRPr="00782DF6">
        <w:rPr>
          <w:rFonts w:eastAsia="Calibri" w:cs="Arial"/>
          <w:szCs w:val="24"/>
        </w:rPr>
        <w:t xml:space="preserve">how we have made meaningful changes </w:t>
      </w:r>
      <w:r>
        <w:rPr>
          <w:rFonts w:eastAsia="Calibri" w:cs="Arial"/>
          <w:szCs w:val="24"/>
        </w:rPr>
        <w:t xml:space="preserve">to care and treatment delivery to ensure that we </w:t>
      </w:r>
      <w:r w:rsidRPr="00782DF6">
        <w:rPr>
          <w:rFonts w:eastAsia="Calibri" w:cs="Arial"/>
          <w:szCs w:val="24"/>
        </w:rPr>
        <w:t xml:space="preserve">keep </w:t>
      </w:r>
      <w:r>
        <w:rPr>
          <w:rFonts w:eastAsia="Calibri" w:cs="Arial"/>
          <w:szCs w:val="24"/>
        </w:rPr>
        <w:t>patients and staff safe.</w:t>
      </w:r>
    </w:p>
    <w:p w14:paraId="16623EA4" w14:textId="77777777" w:rsidR="001E2792" w:rsidRPr="00CA433D" w:rsidRDefault="001E2792" w:rsidP="001E2792">
      <w:pPr>
        <w:jc w:val="both"/>
        <w:rPr>
          <w:rFonts w:eastAsia="Calibri" w:cs="Arial"/>
          <w:bCs w:val="0"/>
          <w:sz w:val="16"/>
          <w:szCs w:val="16"/>
        </w:rPr>
      </w:pPr>
    </w:p>
    <w:p w14:paraId="5209DC6A" w14:textId="77777777" w:rsidR="001E2792" w:rsidRDefault="001E2792" w:rsidP="001E2792">
      <w:pPr>
        <w:jc w:val="both"/>
        <w:rPr>
          <w:rFonts w:eastAsia="Calibri" w:cs="Arial"/>
          <w:bCs w:val="0"/>
          <w:szCs w:val="24"/>
        </w:rPr>
      </w:pPr>
      <w:r w:rsidRPr="00782DF6">
        <w:rPr>
          <w:rFonts w:eastAsia="Calibri" w:cs="Arial"/>
          <w:szCs w:val="24"/>
        </w:rPr>
        <w:t xml:space="preserve">We need to engage meaningfully with patients, families and carers to ensure that their voice </w:t>
      </w:r>
      <w:r>
        <w:rPr>
          <w:rFonts w:eastAsia="Calibri" w:cs="Arial"/>
          <w:szCs w:val="24"/>
        </w:rPr>
        <w:t xml:space="preserve">is heard when we undertake </w:t>
      </w:r>
      <w:r w:rsidRPr="00782DF6">
        <w:rPr>
          <w:rFonts w:eastAsia="Calibri" w:cs="Arial"/>
          <w:szCs w:val="24"/>
        </w:rPr>
        <w:t xml:space="preserve">investigations. </w:t>
      </w:r>
      <w:r>
        <w:rPr>
          <w:rFonts w:eastAsia="Calibri" w:cs="Arial"/>
          <w:szCs w:val="24"/>
        </w:rPr>
        <w:t xml:space="preserve">The </w:t>
      </w:r>
      <w:r w:rsidRPr="00782DF6">
        <w:rPr>
          <w:rFonts w:eastAsia="Calibri" w:cs="Arial"/>
          <w:szCs w:val="24"/>
        </w:rPr>
        <w:t xml:space="preserve">PSIRF sets out </w:t>
      </w:r>
      <w:r>
        <w:rPr>
          <w:rFonts w:eastAsia="Calibri" w:cs="Arial"/>
          <w:szCs w:val="24"/>
        </w:rPr>
        <w:t>the</w:t>
      </w:r>
      <w:r w:rsidRPr="00782DF6">
        <w:rPr>
          <w:rFonts w:eastAsia="Calibri" w:cs="Arial"/>
          <w:szCs w:val="24"/>
        </w:rPr>
        <w:t xml:space="preserve"> principles for engagement and our move to appointing patient safety partners will ensure that the voice </w:t>
      </w:r>
      <w:r>
        <w:rPr>
          <w:rFonts w:eastAsia="Calibri" w:cs="Arial"/>
          <w:szCs w:val="24"/>
        </w:rPr>
        <w:t xml:space="preserve">of the individual </w:t>
      </w:r>
      <w:r w:rsidRPr="00782DF6">
        <w:rPr>
          <w:rFonts w:eastAsia="Calibri" w:cs="Arial"/>
          <w:szCs w:val="24"/>
        </w:rPr>
        <w:t>is involved at all stages</w:t>
      </w:r>
      <w:r>
        <w:rPr>
          <w:rFonts w:eastAsia="Calibri" w:cs="Arial"/>
          <w:szCs w:val="24"/>
        </w:rPr>
        <w:t xml:space="preserve"> in the</w:t>
      </w:r>
      <w:r w:rsidRPr="00782DF6">
        <w:rPr>
          <w:rFonts w:eastAsia="Calibri" w:cs="Arial"/>
          <w:szCs w:val="24"/>
        </w:rPr>
        <w:t xml:space="preserve"> patient safety processes.</w:t>
      </w:r>
    </w:p>
    <w:p w14:paraId="5F59A93F" w14:textId="77777777" w:rsidR="001E2792" w:rsidRPr="00CA433D" w:rsidRDefault="001E2792" w:rsidP="001E2792">
      <w:pPr>
        <w:jc w:val="both"/>
        <w:rPr>
          <w:rFonts w:eastAsia="Calibri" w:cs="Arial"/>
          <w:bCs w:val="0"/>
          <w:sz w:val="16"/>
          <w:szCs w:val="16"/>
        </w:rPr>
      </w:pPr>
    </w:p>
    <w:p w14:paraId="0DBEAE75" w14:textId="77777777" w:rsidR="001E2792" w:rsidRDefault="001E2792" w:rsidP="001E2792">
      <w:pPr>
        <w:jc w:val="both"/>
        <w:rPr>
          <w:rFonts w:eastAsia="Calibri" w:cs="Arial"/>
          <w:bCs w:val="0"/>
          <w:szCs w:val="24"/>
        </w:rPr>
      </w:pPr>
      <w:r>
        <w:rPr>
          <w:rFonts w:eastAsia="Calibri" w:cs="Arial"/>
          <w:szCs w:val="24"/>
        </w:rPr>
        <w:t>M</w:t>
      </w:r>
      <w:r w:rsidRPr="00782DF6">
        <w:rPr>
          <w:rFonts w:eastAsia="Calibri" w:cs="Arial"/>
          <w:szCs w:val="24"/>
        </w:rPr>
        <w:t xml:space="preserve">oving towards a restorative and just culture underpins how we will approach our incident responses. We have fostered a culture in which people feel they can highlight incidents knowing they will be psychologically safe.  </w:t>
      </w:r>
      <w:r>
        <w:rPr>
          <w:rFonts w:eastAsia="Calibri" w:cs="Arial"/>
          <w:szCs w:val="24"/>
        </w:rPr>
        <w:t xml:space="preserve">The </w:t>
      </w:r>
      <w:r w:rsidRPr="00782DF6">
        <w:rPr>
          <w:rFonts w:eastAsia="Calibri" w:cs="Arial"/>
          <w:szCs w:val="24"/>
        </w:rPr>
        <w:t xml:space="preserve">PSIRF asks that we have conversations where people have been affected by a patient safety incident, no matter how difficult that </w:t>
      </w:r>
      <w:proofErr w:type="gramStart"/>
      <w:r w:rsidRPr="00782DF6">
        <w:rPr>
          <w:rFonts w:eastAsia="Calibri" w:cs="Arial"/>
          <w:szCs w:val="24"/>
        </w:rPr>
        <w:t>is</w:t>
      </w:r>
      <w:proofErr w:type="gramEnd"/>
      <w:r w:rsidRPr="00782DF6">
        <w:rPr>
          <w:rFonts w:eastAsia="Calibri" w:cs="Arial"/>
          <w:szCs w:val="24"/>
        </w:rPr>
        <w:t xml:space="preserve"> and we will continue work to how we can equip and support those affected to best hear the voice of those involved. The process of reviewing an incident can help staff validate the decisions made in caring for and treating a patient and facilitate psychological closure. </w:t>
      </w:r>
    </w:p>
    <w:p w14:paraId="67376670" w14:textId="77777777" w:rsidR="001E2792" w:rsidRPr="00CA433D" w:rsidRDefault="001E2792" w:rsidP="001E2792">
      <w:pPr>
        <w:jc w:val="both"/>
        <w:rPr>
          <w:rFonts w:eastAsia="Calibri" w:cs="Arial"/>
          <w:bCs w:val="0"/>
          <w:sz w:val="16"/>
          <w:szCs w:val="16"/>
        </w:rPr>
      </w:pPr>
    </w:p>
    <w:p w14:paraId="5361CFC5" w14:textId="77777777" w:rsidR="001E2792" w:rsidRDefault="001E2792" w:rsidP="001E2792">
      <w:pPr>
        <w:jc w:val="both"/>
        <w:rPr>
          <w:rFonts w:eastAsia="Calibri" w:cs="Arial"/>
          <w:bCs w:val="0"/>
          <w:szCs w:val="24"/>
        </w:rPr>
      </w:pPr>
      <w:r w:rsidRPr="00782DF6">
        <w:rPr>
          <w:rFonts w:eastAsia="Calibri" w:cs="Arial"/>
          <w:szCs w:val="24"/>
        </w:rPr>
        <w:t xml:space="preserve">As we move into adopting this new way of managing patient safety learning reviews, we accept that we may not get it right </w:t>
      </w:r>
      <w:r>
        <w:rPr>
          <w:rFonts w:eastAsia="Calibri" w:cs="Arial"/>
          <w:szCs w:val="24"/>
        </w:rPr>
        <w:t xml:space="preserve">from the outset.  We will through established patient safety processes </w:t>
      </w:r>
      <w:r w:rsidRPr="00782DF6">
        <w:rPr>
          <w:rFonts w:eastAsia="Calibri" w:cs="Arial"/>
          <w:szCs w:val="24"/>
        </w:rPr>
        <w:t xml:space="preserve">continue to monitor the impact and effectiveness of our PSIRF implementation, responding and adapting as needed if our approach is not achieving what we expect it to. </w:t>
      </w:r>
    </w:p>
    <w:p w14:paraId="6A6CA6C9" w14:textId="77777777" w:rsidR="001E2792" w:rsidRPr="00CA433D" w:rsidRDefault="001E2792" w:rsidP="001E2792">
      <w:pPr>
        <w:jc w:val="both"/>
        <w:rPr>
          <w:rFonts w:eastAsia="Calibri" w:cs="Arial"/>
          <w:bCs w:val="0"/>
          <w:sz w:val="16"/>
          <w:szCs w:val="16"/>
        </w:rPr>
      </w:pPr>
    </w:p>
    <w:p w14:paraId="65474E46" w14:textId="77777777" w:rsidR="001E2792" w:rsidRPr="00782DF6" w:rsidRDefault="001E2792" w:rsidP="0022630F">
      <w:pPr>
        <w:tabs>
          <w:tab w:val="left" w:pos="7797"/>
        </w:tabs>
        <w:jc w:val="both"/>
        <w:rPr>
          <w:rFonts w:eastAsia="Calibri" w:cs="Arial"/>
          <w:bCs w:val="0"/>
          <w:szCs w:val="24"/>
        </w:rPr>
      </w:pPr>
      <w:r w:rsidRPr="00782DF6">
        <w:rPr>
          <w:rFonts w:eastAsia="Calibri" w:cs="Arial"/>
          <w:szCs w:val="24"/>
        </w:rPr>
        <w:t xml:space="preserve">In this </w:t>
      </w:r>
      <w:r>
        <w:rPr>
          <w:rFonts w:eastAsia="Calibri" w:cs="Arial"/>
          <w:szCs w:val="24"/>
        </w:rPr>
        <w:t xml:space="preserve">journey we have been </w:t>
      </w:r>
      <w:r w:rsidRPr="00782DF6">
        <w:rPr>
          <w:rFonts w:eastAsia="Calibri" w:cs="Arial"/>
          <w:szCs w:val="24"/>
        </w:rPr>
        <w:t>supported by</w:t>
      </w:r>
      <w:r>
        <w:rPr>
          <w:rFonts w:eastAsia="Calibri" w:cs="Arial"/>
          <w:szCs w:val="24"/>
        </w:rPr>
        <w:t xml:space="preserve"> NHS Greater Manchester Integrated Care quality leads </w:t>
      </w:r>
      <w:r w:rsidRPr="00782DF6">
        <w:rPr>
          <w:rFonts w:eastAsia="Calibri" w:cs="Arial"/>
          <w:szCs w:val="24"/>
        </w:rPr>
        <w:t xml:space="preserve">and other stakeholders to allow us to embark on this nationally driven change. Most importantly though, PSIRF offers us the opportunity to learn and improve to promote the </w:t>
      </w:r>
      <w:r w:rsidRPr="00782DF6">
        <w:rPr>
          <w:rFonts w:eastAsia="Calibri" w:cs="Arial"/>
          <w:szCs w:val="24"/>
        </w:rPr>
        <w:lastRenderedPageBreak/>
        <w:t xml:space="preserve">safe, effective, and compassionate care of our patients, their families and carers whilst also protecting the well-being of our staff. </w:t>
      </w:r>
    </w:p>
    <w:p w14:paraId="7B92CACA" w14:textId="77777777" w:rsidR="001E2792" w:rsidRDefault="001E2792" w:rsidP="001E2792">
      <w:pPr>
        <w:rPr>
          <w:rFonts w:eastAsia="Calibri" w:cs="Arial"/>
          <w:b/>
          <w:color w:val="00B050"/>
        </w:rPr>
      </w:pPr>
    </w:p>
    <w:sdt>
      <w:sdtPr>
        <w:rPr>
          <w:rFonts w:asciiTheme="minorHAnsi" w:eastAsiaTheme="minorHAnsi" w:hAnsiTheme="minorHAnsi" w:cstheme="minorBidi"/>
          <w:b w:val="0"/>
          <w:bCs w:val="0"/>
          <w:color w:val="auto"/>
          <w:sz w:val="22"/>
          <w:szCs w:val="22"/>
          <w:lang w:val="en-GB" w:eastAsia="en-US"/>
        </w:rPr>
        <w:id w:val="2062751647"/>
        <w:docPartObj>
          <w:docPartGallery w:val="Table of Contents"/>
          <w:docPartUnique/>
        </w:docPartObj>
      </w:sdtPr>
      <w:sdtEndPr>
        <w:rPr>
          <w:rFonts w:ascii="Calibri" w:eastAsia="Times New Roman" w:hAnsi="Calibri" w:cs="HelveticaNeue-Roman"/>
          <w:bCs/>
          <w:noProof/>
          <w:color w:val="000000"/>
          <w:sz w:val="24"/>
          <w:lang w:eastAsia="en-GB"/>
        </w:rPr>
      </w:sdtEndPr>
      <w:sdtContent>
        <w:sdt>
          <w:sdtPr>
            <w:rPr>
              <w:rFonts w:asciiTheme="minorHAnsi" w:eastAsiaTheme="minorHAnsi" w:hAnsiTheme="minorHAnsi" w:cstheme="minorBidi"/>
              <w:b w:val="0"/>
              <w:bCs w:val="0"/>
              <w:color w:val="auto"/>
              <w:sz w:val="22"/>
              <w:szCs w:val="22"/>
              <w:lang w:val="en-GB" w:eastAsia="en-US"/>
            </w:rPr>
            <w:id w:val="1299490881"/>
            <w:docPartObj>
              <w:docPartGallery w:val="Table of Contents"/>
              <w:docPartUnique/>
            </w:docPartObj>
          </w:sdtPr>
          <w:sdtEndPr>
            <w:rPr>
              <w:rFonts w:ascii="Calibri" w:eastAsia="Times New Roman" w:hAnsi="Calibri" w:cs="HelveticaNeue-Roman"/>
              <w:bCs/>
              <w:noProof/>
              <w:color w:val="000000"/>
              <w:sz w:val="24"/>
              <w:lang w:eastAsia="en-GB"/>
            </w:rPr>
          </w:sdtEndPr>
          <w:sdtContent>
            <w:p w14:paraId="497A8EC9" w14:textId="77777777" w:rsidR="001E2792" w:rsidRDefault="001E2792" w:rsidP="001E2792">
              <w:pPr>
                <w:pStyle w:val="TOCHeading"/>
                <w:spacing w:before="0" w:line="240" w:lineRule="auto"/>
                <w:rPr>
                  <w:rFonts w:asciiTheme="minorHAnsi" w:eastAsiaTheme="minorHAnsi" w:hAnsiTheme="minorHAnsi" w:cstheme="minorBidi"/>
                  <w:b w:val="0"/>
                  <w:bCs w:val="0"/>
                  <w:color w:val="auto"/>
                  <w:sz w:val="22"/>
                  <w:szCs w:val="22"/>
                  <w:lang w:val="en-GB" w:eastAsia="en-US"/>
                </w:rPr>
              </w:pPr>
              <w:r>
                <w:rPr>
                  <w:rFonts w:asciiTheme="minorHAnsi" w:eastAsiaTheme="minorHAnsi" w:hAnsiTheme="minorHAnsi" w:cstheme="minorBidi"/>
                  <w:b w:val="0"/>
                  <w:bCs w:val="0"/>
                  <w:color w:val="auto"/>
                  <w:sz w:val="22"/>
                  <w:szCs w:val="22"/>
                  <w:lang w:val="en-GB" w:eastAsia="en-US"/>
                </w:rPr>
                <w:t xml:space="preserve">                                                                                                                                                                                   </w:t>
              </w:r>
            </w:p>
            <w:p w14:paraId="7DC481F8" w14:textId="77777777" w:rsidR="001E2792" w:rsidRPr="00F07498" w:rsidRDefault="001E2792" w:rsidP="001E2792">
              <w:pPr>
                <w:pStyle w:val="TOCHeading"/>
                <w:spacing w:before="0" w:line="240" w:lineRule="auto"/>
                <w:rPr>
                  <w:rFonts w:ascii="Calibri" w:hAnsi="Calibri" w:cs="Calibri"/>
                  <w:b w:val="0"/>
                  <w:bCs w:val="0"/>
                  <w:color w:val="005EB8"/>
                  <w:sz w:val="48"/>
                  <w:szCs w:val="48"/>
                </w:rPr>
              </w:pPr>
              <w:r w:rsidRPr="00F07498">
                <w:rPr>
                  <w:rFonts w:ascii="Calibri" w:hAnsi="Calibri" w:cs="Calibri"/>
                  <w:b w:val="0"/>
                  <w:bCs w:val="0"/>
                  <w:color w:val="005EB8"/>
                  <w:sz w:val="48"/>
                  <w:szCs w:val="48"/>
                </w:rPr>
                <w:t>Contents</w:t>
              </w:r>
            </w:p>
            <w:p w14:paraId="76BAF5D6" w14:textId="77777777" w:rsidR="001E2792" w:rsidRPr="006806EF" w:rsidRDefault="001E2792" w:rsidP="001E2792">
              <w:pPr>
                <w:pStyle w:val="TOCHeading"/>
                <w:spacing w:before="0" w:line="240" w:lineRule="auto"/>
                <w:rPr>
                  <w:b w:val="0"/>
                  <w:bCs w:val="0"/>
                  <w:color w:val="005EB8"/>
                  <w:sz w:val="48"/>
                  <w:szCs w:val="48"/>
                </w:rPr>
              </w:pPr>
              <w:r>
                <w:rPr>
                  <w:b w:val="0"/>
                  <w:bCs w:val="0"/>
                  <w:color w:val="005EB8"/>
                  <w:sz w:val="48"/>
                  <w:szCs w:val="48"/>
                </w:rPr>
                <w:t xml:space="preserve">                                                    </w:t>
              </w:r>
            </w:p>
            <w:p w14:paraId="7D75FE90" w14:textId="77777777" w:rsidR="001E2792" w:rsidRPr="002B74C9" w:rsidRDefault="001E2792" w:rsidP="00DC4755">
              <w:pPr>
                <w:pStyle w:val="TOC1"/>
                <w:numPr>
                  <w:ilvl w:val="0"/>
                  <w:numId w:val="16"/>
                </w:numPr>
                <w:tabs>
                  <w:tab w:val="clear" w:pos="9072"/>
                  <w:tab w:val="right" w:leader="dot" w:pos="9016"/>
                </w:tabs>
                <w:spacing w:after="0" w:line="240" w:lineRule="auto"/>
                <w:rPr>
                  <w:rFonts w:asciiTheme="minorHAnsi" w:hAnsiTheme="minorHAnsi" w:cstheme="minorHAnsi"/>
                  <w:sz w:val="24"/>
                  <w:szCs w:val="24"/>
                </w:rPr>
              </w:pPr>
              <w:r w:rsidRPr="002B74C9">
                <w:rPr>
                  <w:rFonts w:asciiTheme="minorHAnsi" w:hAnsiTheme="minorHAnsi" w:cstheme="minorHAnsi"/>
                  <w:sz w:val="24"/>
                  <w:szCs w:val="24"/>
                </w:rPr>
                <w:fldChar w:fldCharType="begin"/>
              </w:r>
              <w:r w:rsidRPr="002B74C9">
                <w:rPr>
                  <w:rFonts w:asciiTheme="minorHAnsi" w:hAnsiTheme="minorHAnsi" w:cstheme="minorHAnsi"/>
                  <w:sz w:val="24"/>
                  <w:szCs w:val="24"/>
                </w:rPr>
                <w:instrText xml:space="preserve"> TOC \o "1-3" \h \z \u </w:instrText>
              </w:r>
              <w:r w:rsidRPr="002B74C9">
                <w:rPr>
                  <w:rFonts w:asciiTheme="minorHAnsi" w:hAnsiTheme="minorHAnsi" w:cstheme="minorHAnsi"/>
                  <w:sz w:val="24"/>
                  <w:szCs w:val="24"/>
                </w:rPr>
                <w:fldChar w:fldCharType="separate"/>
              </w:r>
              <w:hyperlink w:anchor="_Toc105488074" w:history="1">
                <w:r w:rsidRPr="002B74C9">
                  <w:rPr>
                    <w:rStyle w:val="Hyperlink"/>
                    <w:rFonts w:asciiTheme="minorHAnsi" w:hAnsiTheme="minorHAnsi" w:cstheme="minorHAnsi"/>
                    <w:sz w:val="24"/>
                    <w:szCs w:val="24"/>
                  </w:rPr>
                  <w:t>Introduction</w:t>
                </w:r>
                <w:r w:rsidR="005E3384" w:rsidRPr="002B74C9">
                  <w:rPr>
                    <w:rStyle w:val="Hyperlink"/>
                    <w:rFonts w:asciiTheme="minorHAnsi" w:hAnsiTheme="minorHAnsi" w:cstheme="minorHAnsi"/>
                    <w:sz w:val="24"/>
                    <w:szCs w:val="24"/>
                  </w:rPr>
                  <w:t>…….</w:t>
                </w:r>
                <w:r w:rsidRPr="002B74C9">
                  <w:rPr>
                    <w:rFonts w:asciiTheme="minorHAnsi" w:hAnsiTheme="minorHAnsi" w:cstheme="minorHAnsi"/>
                    <w:webHidden/>
                    <w:sz w:val="24"/>
                    <w:szCs w:val="24"/>
                  </w:rPr>
                  <w:t>……………………………………………………………………</w:t>
                </w:r>
                <w:r w:rsidR="002B74C9">
                  <w:rPr>
                    <w:rFonts w:asciiTheme="minorHAnsi" w:hAnsiTheme="minorHAnsi" w:cstheme="minorHAnsi"/>
                    <w:webHidden/>
                    <w:sz w:val="24"/>
                    <w:szCs w:val="24"/>
                  </w:rPr>
                  <w:t>………………</w:t>
                </w:r>
                <w:r w:rsidR="002C6473">
                  <w:rPr>
                    <w:rFonts w:asciiTheme="minorHAnsi" w:hAnsiTheme="minorHAnsi" w:cstheme="minorHAnsi"/>
                    <w:webHidden/>
                    <w:sz w:val="24"/>
                    <w:szCs w:val="24"/>
                  </w:rPr>
                  <w:t>…</w:t>
                </w:r>
                <w:r w:rsidRPr="002B74C9">
                  <w:rPr>
                    <w:rFonts w:asciiTheme="minorHAnsi" w:hAnsiTheme="minorHAnsi" w:cstheme="minorHAnsi"/>
                    <w:webHidden/>
                    <w:sz w:val="24"/>
                    <w:szCs w:val="24"/>
                  </w:rPr>
                  <w:t>4</w:t>
                </w:r>
              </w:hyperlink>
            </w:p>
            <w:p w14:paraId="32B3C2D7" w14:textId="77777777" w:rsidR="001E2792" w:rsidRPr="002B74C9" w:rsidRDefault="001E2792" w:rsidP="002C6473">
              <w:pPr>
                <w:tabs>
                  <w:tab w:val="left" w:pos="7655"/>
                </w:tabs>
                <w:rPr>
                  <w:rFonts w:asciiTheme="minorHAnsi" w:hAnsiTheme="minorHAnsi" w:cstheme="minorHAnsi"/>
                  <w:szCs w:val="24"/>
                </w:rPr>
              </w:pPr>
            </w:p>
            <w:p w14:paraId="35467491" w14:textId="77777777" w:rsidR="001E2792" w:rsidRPr="002B74C9" w:rsidRDefault="001E2792" w:rsidP="00DC4755">
              <w:pPr>
                <w:pStyle w:val="TOC1"/>
                <w:numPr>
                  <w:ilvl w:val="0"/>
                  <w:numId w:val="16"/>
                </w:numPr>
                <w:tabs>
                  <w:tab w:val="clear" w:pos="9072"/>
                  <w:tab w:val="right" w:leader="dot" w:pos="9016"/>
                </w:tabs>
                <w:spacing w:after="0" w:line="240" w:lineRule="auto"/>
                <w:rPr>
                  <w:rFonts w:asciiTheme="minorHAnsi" w:hAnsiTheme="minorHAnsi" w:cstheme="minorHAnsi"/>
                  <w:sz w:val="24"/>
                  <w:szCs w:val="24"/>
                </w:rPr>
              </w:pPr>
              <w:hyperlink w:anchor="_Toc105488075" w:history="1">
                <w:r w:rsidRPr="002B74C9">
                  <w:rPr>
                    <w:rStyle w:val="Hyperlink"/>
                    <w:rFonts w:asciiTheme="minorHAnsi" w:hAnsiTheme="minorHAnsi" w:cstheme="minorHAnsi"/>
                    <w:sz w:val="24"/>
                    <w:szCs w:val="24"/>
                  </w:rPr>
                  <w:t>Our services…………………………………………………………………………</w:t>
                </w:r>
                <w:r w:rsidR="002B74C9">
                  <w:rPr>
                    <w:rStyle w:val="Hyperlink"/>
                    <w:rFonts w:asciiTheme="minorHAnsi" w:hAnsiTheme="minorHAnsi" w:cstheme="minorHAnsi"/>
                    <w:sz w:val="24"/>
                    <w:szCs w:val="24"/>
                  </w:rPr>
                  <w:t>………………...</w:t>
                </w:r>
                <w:r w:rsidR="002C6473">
                  <w:rPr>
                    <w:rStyle w:val="Hyperlink"/>
                    <w:rFonts w:asciiTheme="minorHAnsi" w:hAnsiTheme="minorHAnsi" w:cstheme="minorHAnsi"/>
                    <w:sz w:val="24"/>
                    <w:szCs w:val="24"/>
                  </w:rPr>
                  <w:t>.</w:t>
                </w:r>
                <w:r w:rsidRPr="002B74C9">
                  <w:rPr>
                    <w:rFonts w:asciiTheme="minorHAnsi" w:hAnsiTheme="minorHAnsi" w:cstheme="minorHAnsi"/>
                    <w:webHidden/>
                    <w:sz w:val="24"/>
                    <w:szCs w:val="24"/>
                  </w:rPr>
                  <w:t>5</w:t>
                </w:r>
              </w:hyperlink>
            </w:p>
            <w:p w14:paraId="6AF2BCEF" w14:textId="77777777" w:rsidR="001E2792" w:rsidRPr="002B74C9" w:rsidRDefault="001E2792" w:rsidP="001E2792">
              <w:pPr>
                <w:rPr>
                  <w:rFonts w:asciiTheme="minorHAnsi" w:hAnsiTheme="minorHAnsi" w:cstheme="minorHAnsi"/>
                  <w:szCs w:val="24"/>
                </w:rPr>
              </w:pPr>
            </w:p>
            <w:p w14:paraId="7D4709FE" w14:textId="77777777" w:rsidR="001E2792" w:rsidRPr="002B74C9" w:rsidRDefault="001E2792" w:rsidP="00DC4755">
              <w:pPr>
                <w:pStyle w:val="TOC1"/>
                <w:numPr>
                  <w:ilvl w:val="0"/>
                  <w:numId w:val="16"/>
                </w:numPr>
                <w:tabs>
                  <w:tab w:val="clear" w:pos="9072"/>
                  <w:tab w:val="right" w:leader="dot" w:pos="9016"/>
                </w:tabs>
                <w:spacing w:after="0" w:line="240" w:lineRule="auto"/>
                <w:rPr>
                  <w:rFonts w:asciiTheme="minorHAnsi" w:hAnsiTheme="minorHAnsi" w:cstheme="minorHAnsi"/>
                  <w:sz w:val="24"/>
                  <w:szCs w:val="24"/>
                </w:rPr>
              </w:pPr>
              <w:hyperlink w:anchor="_Toc105488076" w:history="1">
                <w:r w:rsidRPr="002B74C9">
                  <w:rPr>
                    <w:rStyle w:val="Hyperlink"/>
                    <w:rFonts w:asciiTheme="minorHAnsi" w:hAnsiTheme="minorHAnsi" w:cstheme="minorHAnsi"/>
                    <w:sz w:val="24"/>
                    <w:szCs w:val="24"/>
                  </w:rPr>
                  <w:t>Defining our patient safety incident profile</w:t>
                </w:r>
                <w:r w:rsidRPr="002B74C9">
                  <w:rPr>
                    <w:rFonts w:asciiTheme="minorHAnsi" w:hAnsiTheme="minorHAnsi" w:cstheme="minorHAnsi"/>
                    <w:webHidden/>
                    <w:sz w:val="24"/>
                    <w:szCs w:val="24"/>
                  </w:rPr>
                  <w:t>………………………………………...</w:t>
                </w:r>
                <w:r w:rsidR="002B74C9">
                  <w:rPr>
                    <w:rFonts w:asciiTheme="minorHAnsi" w:hAnsiTheme="minorHAnsi" w:cstheme="minorHAnsi"/>
                    <w:webHidden/>
                    <w:sz w:val="24"/>
                    <w:szCs w:val="24"/>
                  </w:rPr>
                  <w:t>...</w:t>
                </w:r>
                <w:r w:rsidR="002C6473">
                  <w:rPr>
                    <w:rFonts w:asciiTheme="minorHAnsi" w:hAnsiTheme="minorHAnsi" w:cstheme="minorHAnsi"/>
                    <w:webHidden/>
                    <w:sz w:val="24"/>
                    <w:szCs w:val="24"/>
                  </w:rPr>
                  <w:t>.</w:t>
                </w:r>
                <w:r w:rsidRPr="002B74C9">
                  <w:rPr>
                    <w:rFonts w:asciiTheme="minorHAnsi" w:hAnsiTheme="minorHAnsi" w:cstheme="minorHAnsi"/>
                    <w:webHidden/>
                    <w:sz w:val="24"/>
                    <w:szCs w:val="24"/>
                  </w:rPr>
                  <w:t>6</w:t>
                </w:r>
              </w:hyperlink>
            </w:p>
            <w:p w14:paraId="29574824" w14:textId="77777777" w:rsidR="001E2792" w:rsidRPr="002B74C9" w:rsidRDefault="001E2792" w:rsidP="001E2792">
              <w:pPr>
                <w:rPr>
                  <w:rFonts w:asciiTheme="minorHAnsi" w:hAnsiTheme="minorHAnsi" w:cstheme="minorHAnsi"/>
                  <w:szCs w:val="24"/>
                </w:rPr>
              </w:pPr>
            </w:p>
            <w:p w14:paraId="14775217" w14:textId="77777777" w:rsidR="001E2792" w:rsidRPr="002B74C9" w:rsidRDefault="001E2792" w:rsidP="001B09C9">
              <w:pPr>
                <w:pStyle w:val="TOC1"/>
                <w:numPr>
                  <w:ilvl w:val="0"/>
                  <w:numId w:val="16"/>
                </w:numPr>
                <w:tabs>
                  <w:tab w:val="clear" w:pos="9072"/>
                  <w:tab w:val="left" w:pos="7655"/>
                  <w:tab w:val="right" w:leader="dot" w:pos="9016"/>
                </w:tabs>
                <w:spacing w:after="0" w:line="240" w:lineRule="auto"/>
                <w:rPr>
                  <w:rFonts w:asciiTheme="minorHAnsi" w:hAnsiTheme="minorHAnsi" w:cstheme="minorHAnsi"/>
                  <w:sz w:val="24"/>
                  <w:szCs w:val="24"/>
                </w:rPr>
              </w:pPr>
              <w:hyperlink w:anchor="_Toc105488077" w:history="1">
                <w:r w:rsidRPr="002B74C9">
                  <w:rPr>
                    <w:rStyle w:val="Hyperlink"/>
                    <w:rFonts w:asciiTheme="minorHAnsi" w:hAnsiTheme="minorHAnsi" w:cstheme="minorHAnsi"/>
                    <w:sz w:val="24"/>
                    <w:szCs w:val="24"/>
                  </w:rPr>
                  <w:t>Defining our patient safety improvement profile</w:t>
                </w:r>
                <w:r w:rsidR="00422D85" w:rsidRPr="002B74C9">
                  <w:rPr>
                    <w:rStyle w:val="Hyperlink"/>
                    <w:rFonts w:asciiTheme="minorHAnsi" w:hAnsiTheme="minorHAnsi" w:cstheme="minorHAnsi"/>
                    <w:sz w:val="24"/>
                    <w:szCs w:val="24"/>
                  </w:rPr>
                  <w:t>…………………………………</w:t>
                </w:r>
                <w:r w:rsidR="002C6473">
                  <w:rPr>
                    <w:rStyle w:val="Hyperlink"/>
                    <w:rFonts w:asciiTheme="minorHAnsi" w:hAnsiTheme="minorHAnsi" w:cstheme="minorHAnsi"/>
                    <w:sz w:val="24"/>
                    <w:szCs w:val="24"/>
                  </w:rPr>
                  <w:t>…</w:t>
                </w:r>
                <w:r w:rsidRPr="002B74C9">
                  <w:rPr>
                    <w:rFonts w:asciiTheme="minorHAnsi" w:hAnsiTheme="minorHAnsi" w:cstheme="minorHAnsi"/>
                    <w:webHidden/>
                    <w:sz w:val="24"/>
                    <w:szCs w:val="24"/>
                  </w:rPr>
                  <w:t>10</w:t>
                </w:r>
              </w:hyperlink>
            </w:p>
            <w:p w14:paraId="4094FAFF" w14:textId="77777777" w:rsidR="001E2792" w:rsidRPr="002B74C9" w:rsidRDefault="001E2792" w:rsidP="00701DC3">
              <w:pPr>
                <w:tabs>
                  <w:tab w:val="left" w:pos="8080"/>
                </w:tabs>
                <w:rPr>
                  <w:rFonts w:asciiTheme="minorHAnsi" w:hAnsiTheme="minorHAnsi" w:cstheme="minorHAnsi"/>
                  <w:szCs w:val="24"/>
                </w:rPr>
              </w:pPr>
            </w:p>
            <w:p w14:paraId="2E6DDCC8" w14:textId="77777777" w:rsidR="001E2792" w:rsidRPr="002B74C9" w:rsidRDefault="001E2792" w:rsidP="00DC4755">
              <w:pPr>
                <w:pStyle w:val="TOC1"/>
                <w:numPr>
                  <w:ilvl w:val="0"/>
                  <w:numId w:val="16"/>
                </w:numPr>
                <w:tabs>
                  <w:tab w:val="clear" w:pos="9072"/>
                  <w:tab w:val="right" w:leader="dot" w:pos="9016"/>
                </w:tabs>
                <w:spacing w:after="0" w:line="240" w:lineRule="auto"/>
                <w:rPr>
                  <w:rFonts w:asciiTheme="minorHAnsi" w:hAnsiTheme="minorHAnsi" w:cstheme="minorHAnsi"/>
                  <w:sz w:val="24"/>
                  <w:szCs w:val="24"/>
                </w:rPr>
              </w:pPr>
              <w:hyperlink w:anchor="_Toc105488078" w:history="1">
                <w:r w:rsidRPr="002B74C9">
                  <w:rPr>
                    <w:rStyle w:val="Hyperlink"/>
                    <w:rFonts w:asciiTheme="minorHAnsi" w:hAnsiTheme="minorHAnsi" w:cstheme="minorHAnsi"/>
                    <w:sz w:val="24"/>
                    <w:szCs w:val="24"/>
                  </w:rPr>
                  <w:t>Our patient safety incident response plan: national requirements</w:t>
                </w:r>
                <w:r w:rsidRPr="002B74C9">
                  <w:rPr>
                    <w:rFonts w:asciiTheme="minorHAnsi" w:hAnsiTheme="minorHAnsi" w:cstheme="minorHAnsi"/>
                    <w:webHidden/>
                    <w:sz w:val="24"/>
                    <w:szCs w:val="24"/>
                  </w:rPr>
                  <w:t>………</w:t>
                </w:r>
                <w:r w:rsidR="002C6473">
                  <w:rPr>
                    <w:rFonts w:asciiTheme="minorHAnsi" w:hAnsiTheme="minorHAnsi" w:cstheme="minorHAnsi"/>
                    <w:webHidden/>
                    <w:sz w:val="24"/>
                    <w:szCs w:val="24"/>
                  </w:rPr>
                  <w:t>…</w:t>
                </w:r>
                <w:r w:rsidRPr="002B74C9">
                  <w:rPr>
                    <w:rFonts w:asciiTheme="minorHAnsi" w:hAnsiTheme="minorHAnsi" w:cstheme="minorHAnsi"/>
                    <w:webHidden/>
                    <w:sz w:val="24"/>
                    <w:szCs w:val="24"/>
                  </w:rPr>
                  <w:t>11</w:t>
                </w:r>
              </w:hyperlink>
            </w:p>
            <w:p w14:paraId="47BBBDD2" w14:textId="77777777" w:rsidR="001E2792" w:rsidRPr="002B74C9" w:rsidRDefault="001E2792" w:rsidP="001E2792">
              <w:pPr>
                <w:rPr>
                  <w:rFonts w:asciiTheme="minorHAnsi" w:hAnsiTheme="minorHAnsi" w:cstheme="minorHAnsi"/>
                  <w:szCs w:val="24"/>
                </w:rPr>
              </w:pPr>
            </w:p>
            <w:p w14:paraId="086E00FA" w14:textId="77777777" w:rsidR="001E2792" w:rsidRPr="002B74C9" w:rsidRDefault="001E2792" w:rsidP="00DC4755">
              <w:pPr>
                <w:pStyle w:val="ListParagraph"/>
                <w:numPr>
                  <w:ilvl w:val="0"/>
                  <w:numId w:val="16"/>
                </w:numPr>
                <w:rPr>
                  <w:rFonts w:asciiTheme="minorHAnsi" w:hAnsiTheme="minorHAnsi" w:cstheme="minorHAnsi"/>
                  <w:szCs w:val="24"/>
                </w:rPr>
              </w:pPr>
              <w:r w:rsidRPr="002B74C9">
                <w:rPr>
                  <w:rFonts w:asciiTheme="minorHAnsi" w:hAnsiTheme="minorHAnsi" w:cstheme="minorHAnsi"/>
                  <w:szCs w:val="24"/>
                </w:rPr>
                <w:t>Our patient safety incident response plan………………………………………</w:t>
              </w:r>
              <w:r w:rsidR="00B4759D" w:rsidRPr="002B74C9">
                <w:rPr>
                  <w:rFonts w:asciiTheme="minorHAnsi" w:hAnsiTheme="minorHAnsi" w:cstheme="minorHAnsi"/>
                  <w:szCs w:val="24"/>
                </w:rPr>
                <w:t>……</w:t>
              </w:r>
              <w:r w:rsidR="002C6473">
                <w:rPr>
                  <w:rFonts w:asciiTheme="minorHAnsi" w:hAnsiTheme="minorHAnsi" w:cstheme="minorHAnsi"/>
                  <w:szCs w:val="24"/>
                </w:rPr>
                <w:t>…</w:t>
              </w:r>
              <w:r w:rsidR="002B74C9">
                <w:rPr>
                  <w:rFonts w:asciiTheme="minorHAnsi" w:hAnsiTheme="minorHAnsi" w:cstheme="minorHAnsi"/>
                  <w:szCs w:val="24"/>
                </w:rPr>
                <w:t>1</w:t>
              </w:r>
              <w:r w:rsidRPr="002B74C9">
                <w:rPr>
                  <w:rFonts w:asciiTheme="minorHAnsi" w:hAnsiTheme="minorHAnsi" w:cstheme="minorHAnsi"/>
                  <w:szCs w:val="24"/>
                </w:rPr>
                <w:t>3</w:t>
              </w:r>
            </w:p>
            <w:p w14:paraId="7F282892" w14:textId="77777777" w:rsidR="001E2792" w:rsidRPr="002B74C9" w:rsidRDefault="001E2792" w:rsidP="001E2792">
              <w:pPr>
                <w:rPr>
                  <w:rFonts w:asciiTheme="minorHAnsi" w:hAnsiTheme="minorHAnsi" w:cstheme="minorHAnsi"/>
                  <w:szCs w:val="24"/>
                </w:rPr>
              </w:pPr>
            </w:p>
            <w:p w14:paraId="42A95A42" w14:textId="77777777" w:rsidR="001E2792" w:rsidRPr="002B74C9" w:rsidRDefault="001E2792" w:rsidP="00422D85">
              <w:pPr>
                <w:pStyle w:val="ListParagraph"/>
                <w:numPr>
                  <w:ilvl w:val="0"/>
                  <w:numId w:val="16"/>
                </w:numPr>
                <w:tabs>
                  <w:tab w:val="left" w:pos="7938"/>
                  <w:tab w:val="left" w:pos="8080"/>
                </w:tabs>
                <w:rPr>
                  <w:rFonts w:asciiTheme="minorHAnsi" w:hAnsiTheme="minorHAnsi" w:cstheme="minorHAnsi"/>
                  <w:szCs w:val="24"/>
                </w:rPr>
              </w:pPr>
              <w:r w:rsidRPr="002B74C9">
                <w:rPr>
                  <w:rFonts w:asciiTheme="minorHAnsi" w:hAnsiTheme="minorHAnsi" w:cstheme="minorHAnsi"/>
                  <w:szCs w:val="24"/>
                </w:rPr>
                <w:t>Responding to patient safety incidents…………………………………………</w:t>
              </w:r>
              <w:r w:rsidR="00B4759D" w:rsidRPr="002B74C9">
                <w:rPr>
                  <w:rFonts w:asciiTheme="minorHAnsi" w:hAnsiTheme="minorHAnsi" w:cstheme="minorHAnsi"/>
                  <w:szCs w:val="24"/>
                </w:rPr>
                <w:t>………</w:t>
              </w:r>
              <w:r w:rsidR="00790BF8">
                <w:rPr>
                  <w:rFonts w:asciiTheme="minorHAnsi" w:hAnsiTheme="minorHAnsi" w:cstheme="minorHAnsi"/>
                  <w:szCs w:val="24"/>
                </w:rPr>
                <w:t>..</w:t>
              </w:r>
              <w:r w:rsidRPr="002B74C9">
                <w:rPr>
                  <w:rFonts w:asciiTheme="minorHAnsi" w:hAnsiTheme="minorHAnsi" w:cstheme="minorHAnsi"/>
                  <w:szCs w:val="24"/>
                </w:rPr>
                <w:t>1</w:t>
              </w:r>
              <w:r w:rsidR="004F09D8">
                <w:rPr>
                  <w:rFonts w:asciiTheme="minorHAnsi" w:hAnsiTheme="minorHAnsi" w:cstheme="minorHAnsi"/>
                  <w:szCs w:val="24"/>
                </w:rPr>
                <w:t>5</w:t>
              </w:r>
            </w:p>
            <w:p w14:paraId="75F85B22" w14:textId="77777777" w:rsidR="001E2792" w:rsidRPr="002B74C9" w:rsidRDefault="001E2792" w:rsidP="001E2792">
              <w:pPr>
                <w:rPr>
                  <w:rFonts w:asciiTheme="minorHAnsi" w:hAnsiTheme="minorHAnsi" w:cstheme="minorHAnsi"/>
                  <w:szCs w:val="24"/>
                </w:rPr>
              </w:pPr>
            </w:p>
            <w:p w14:paraId="53CD1A4A" w14:textId="77777777" w:rsidR="001E2792" w:rsidRPr="002B74C9" w:rsidRDefault="001E2792" w:rsidP="00422D85">
              <w:pPr>
                <w:pStyle w:val="ListParagraph"/>
                <w:numPr>
                  <w:ilvl w:val="0"/>
                  <w:numId w:val="16"/>
                </w:numPr>
                <w:tabs>
                  <w:tab w:val="left" w:pos="7938"/>
                  <w:tab w:val="left" w:pos="8080"/>
                </w:tabs>
                <w:rPr>
                  <w:rFonts w:asciiTheme="minorHAnsi" w:hAnsiTheme="minorHAnsi" w:cstheme="minorHAnsi"/>
                  <w:szCs w:val="24"/>
                </w:rPr>
              </w:pPr>
              <w:r w:rsidRPr="002B74C9">
                <w:rPr>
                  <w:rFonts w:asciiTheme="minorHAnsi" w:hAnsiTheme="minorHAnsi" w:cstheme="minorHAnsi"/>
                  <w:szCs w:val="24"/>
                </w:rPr>
                <w:t>Completing Patient Safety Incident Investigations……………………………</w:t>
              </w:r>
              <w:r w:rsidR="00B4759D" w:rsidRPr="002B74C9">
                <w:rPr>
                  <w:rFonts w:asciiTheme="minorHAnsi" w:hAnsiTheme="minorHAnsi" w:cstheme="minorHAnsi"/>
                  <w:szCs w:val="24"/>
                </w:rPr>
                <w:t>……</w:t>
              </w:r>
              <w:r w:rsidR="002C6473">
                <w:rPr>
                  <w:rFonts w:asciiTheme="minorHAnsi" w:hAnsiTheme="minorHAnsi" w:cstheme="minorHAnsi"/>
                  <w:szCs w:val="24"/>
                </w:rPr>
                <w:t>.</w:t>
              </w:r>
              <w:r w:rsidRPr="002B74C9">
                <w:rPr>
                  <w:rFonts w:asciiTheme="minorHAnsi" w:hAnsiTheme="minorHAnsi" w:cstheme="minorHAnsi"/>
                  <w:szCs w:val="24"/>
                </w:rPr>
                <w:t>1</w:t>
              </w:r>
              <w:r w:rsidR="004F09D8">
                <w:rPr>
                  <w:rFonts w:asciiTheme="minorHAnsi" w:hAnsiTheme="minorHAnsi" w:cstheme="minorHAnsi"/>
                  <w:szCs w:val="24"/>
                </w:rPr>
                <w:t>7</w:t>
              </w:r>
            </w:p>
            <w:p w14:paraId="7E767B4B" w14:textId="77777777" w:rsidR="001E2792" w:rsidRPr="002B74C9" w:rsidRDefault="001E2792" w:rsidP="001E2792">
              <w:pPr>
                <w:rPr>
                  <w:rFonts w:asciiTheme="minorHAnsi" w:hAnsiTheme="minorHAnsi" w:cstheme="minorHAnsi"/>
                  <w:szCs w:val="24"/>
                </w:rPr>
              </w:pPr>
            </w:p>
            <w:p w14:paraId="2264FA76" w14:textId="77777777" w:rsidR="001E2792" w:rsidRDefault="001E2792" w:rsidP="00DC4755">
              <w:pPr>
                <w:pStyle w:val="ListParagraph"/>
                <w:numPr>
                  <w:ilvl w:val="0"/>
                  <w:numId w:val="16"/>
                </w:numPr>
                <w:rPr>
                  <w:rFonts w:asciiTheme="minorHAnsi" w:hAnsiTheme="minorHAnsi" w:cstheme="minorHAnsi"/>
                  <w:szCs w:val="24"/>
                </w:rPr>
              </w:pPr>
              <w:r w:rsidRPr="002B74C9">
                <w:rPr>
                  <w:rFonts w:asciiTheme="minorHAnsi" w:hAnsiTheme="minorHAnsi" w:cstheme="minorHAnsi"/>
                  <w:szCs w:val="24"/>
                </w:rPr>
                <w:t>Evaluation and monitoring outcomes from PSIIs………………………………</w:t>
              </w:r>
              <w:r w:rsidR="00B4759D" w:rsidRPr="002B74C9">
                <w:rPr>
                  <w:rFonts w:asciiTheme="minorHAnsi" w:hAnsiTheme="minorHAnsi" w:cstheme="minorHAnsi"/>
                  <w:szCs w:val="24"/>
                </w:rPr>
                <w:t>……</w:t>
              </w:r>
              <w:r w:rsidR="002C6473">
                <w:rPr>
                  <w:rFonts w:asciiTheme="minorHAnsi" w:hAnsiTheme="minorHAnsi" w:cstheme="minorHAnsi"/>
                  <w:szCs w:val="24"/>
                </w:rPr>
                <w:t>.</w:t>
              </w:r>
              <w:r w:rsidR="00B4759D" w:rsidRPr="002B74C9">
                <w:rPr>
                  <w:rFonts w:asciiTheme="minorHAnsi" w:hAnsiTheme="minorHAnsi" w:cstheme="minorHAnsi"/>
                  <w:szCs w:val="24"/>
                </w:rPr>
                <w:t>1</w:t>
              </w:r>
              <w:r w:rsidR="004F09D8">
                <w:rPr>
                  <w:rFonts w:asciiTheme="minorHAnsi" w:hAnsiTheme="minorHAnsi" w:cstheme="minorHAnsi"/>
                  <w:szCs w:val="24"/>
                </w:rPr>
                <w:t>9</w:t>
              </w:r>
            </w:p>
            <w:p w14:paraId="1898BE2E" w14:textId="77777777" w:rsidR="00514D27" w:rsidRPr="00514D27" w:rsidRDefault="00514D27" w:rsidP="00514D27">
              <w:pPr>
                <w:pStyle w:val="ListParagraph"/>
                <w:rPr>
                  <w:rFonts w:asciiTheme="minorHAnsi" w:hAnsiTheme="minorHAnsi" w:cstheme="minorHAnsi"/>
                  <w:szCs w:val="24"/>
                </w:rPr>
              </w:pPr>
            </w:p>
            <w:p w14:paraId="0060B1FC" w14:textId="5DF36691" w:rsidR="00514D27" w:rsidRPr="002B74C9" w:rsidRDefault="00514D27" w:rsidP="00DC4755">
              <w:pPr>
                <w:pStyle w:val="ListParagraph"/>
                <w:numPr>
                  <w:ilvl w:val="0"/>
                  <w:numId w:val="16"/>
                </w:numPr>
                <w:rPr>
                  <w:rFonts w:asciiTheme="minorHAnsi" w:hAnsiTheme="minorHAnsi" w:cstheme="minorHAnsi"/>
                  <w:szCs w:val="24"/>
                </w:rPr>
              </w:pPr>
              <w:r>
                <w:rPr>
                  <w:rFonts w:asciiTheme="minorHAnsi" w:hAnsiTheme="minorHAnsi" w:cstheme="minorHAnsi"/>
                  <w:szCs w:val="24"/>
                </w:rPr>
                <w:t>Accessibility Statement ………………………………………………………………………….19</w:t>
              </w:r>
            </w:p>
            <w:p w14:paraId="16E9516B" w14:textId="77777777" w:rsidR="00B4759D" w:rsidRPr="002B74C9" w:rsidRDefault="001E2792" w:rsidP="00B4759D">
              <w:pPr>
                <w:pStyle w:val="TOC1"/>
                <w:numPr>
                  <w:ilvl w:val="0"/>
                  <w:numId w:val="0"/>
                </w:numPr>
                <w:ind w:left="360"/>
                <w:rPr>
                  <w:rFonts w:asciiTheme="minorHAnsi" w:hAnsiTheme="minorHAnsi" w:cstheme="minorHAnsi"/>
                  <w:sz w:val="24"/>
                  <w:szCs w:val="24"/>
                </w:rPr>
              </w:pPr>
              <w:r w:rsidRPr="002B74C9">
                <w:rPr>
                  <w:rFonts w:asciiTheme="minorHAnsi" w:hAnsiTheme="minorHAnsi" w:cstheme="minorHAnsi"/>
                  <w:sz w:val="24"/>
                  <w:szCs w:val="24"/>
                </w:rPr>
                <w:fldChar w:fldCharType="end"/>
              </w:r>
            </w:p>
            <w:p w14:paraId="0FE53377" w14:textId="2BD493D0" w:rsidR="001E2792" w:rsidRPr="002B74C9" w:rsidRDefault="001E2792" w:rsidP="00B4759D">
              <w:pPr>
                <w:pStyle w:val="TOC1"/>
                <w:numPr>
                  <w:ilvl w:val="0"/>
                  <w:numId w:val="0"/>
                </w:numPr>
                <w:ind w:left="360"/>
                <w:rPr>
                  <w:rFonts w:asciiTheme="minorHAnsi" w:hAnsiTheme="minorHAnsi" w:cstheme="minorHAnsi"/>
                  <w:sz w:val="24"/>
                  <w:szCs w:val="24"/>
                </w:rPr>
              </w:pPr>
              <w:r w:rsidRPr="002B74C9">
                <w:rPr>
                  <w:rFonts w:asciiTheme="minorHAnsi" w:hAnsiTheme="minorHAnsi" w:cstheme="minorHAnsi"/>
                  <w:sz w:val="24"/>
                  <w:szCs w:val="24"/>
                </w:rPr>
                <w:t>Annex 1: Glossary ……………………………………………………………………</w:t>
              </w:r>
              <w:r w:rsidR="00422D85" w:rsidRPr="002B74C9">
                <w:rPr>
                  <w:rFonts w:asciiTheme="minorHAnsi" w:hAnsiTheme="minorHAnsi" w:cstheme="minorHAnsi"/>
                  <w:sz w:val="24"/>
                  <w:szCs w:val="24"/>
                </w:rPr>
                <w:t>…</w:t>
              </w:r>
              <w:r w:rsidR="002B74C9">
                <w:rPr>
                  <w:rFonts w:asciiTheme="minorHAnsi" w:hAnsiTheme="minorHAnsi" w:cstheme="minorHAnsi"/>
                  <w:sz w:val="24"/>
                  <w:szCs w:val="24"/>
                </w:rPr>
                <w:t>……………</w:t>
              </w:r>
              <w:proofErr w:type="gramStart"/>
              <w:r w:rsidR="002B74C9">
                <w:rPr>
                  <w:rFonts w:asciiTheme="minorHAnsi" w:hAnsiTheme="minorHAnsi" w:cstheme="minorHAnsi"/>
                  <w:sz w:val="24"/>
                  <w:szCs w:val="24"/>
                </w:rPr>
                <w:t>…</w:t>
              </w:r>
              <w:r w:rsidR="00790BF8">
                <w:rPr>
                  <w:rFonts w:asciiTheme="minorHAnsi" w:hAnsiTheme="minorHAnsi" w:cstheme="minorHAnsi"/>
                  <w:sz w:val="24"/>
                  <w:szCs w:val="24"/>
                </w:rPr>
                <w:t>.</w:t>
              </w:r>
              <w:r w:rsidR="009702E7">
                <w:rPr>
                  <w:rFonts w:asciiTheme="minorHAnsi" w:hAnsiTheme="minorHAnsi" w:cstheme="minorHAnsi"/>
                  <w:sz w:val="24"/>
                  <w:szCs w:val="24"/>
                </w:rPr>
                <w:t>.</w:t>
              </w:r>
              <w:proofErr w:type="gramEnd"/>
              <w:r w:rsidR="004F09D8">
                <w:rPr>
                  <w:rFonts w:asciiTheme="minorHAnsi" w:hAnsiTheme="minorHAnsi" w:cstheme="minorHAnsi"/>
                  <w:sz w:val="24"/>
                  <w:szCs w:val="24"/>
                </w:rPr>
                <w:t>2</w:t>
              </w:r>
              <w:r w:rsidR="00514D27">
                <w:rPr>
                  <w:rFonts w:asciiTheme="minorHAnsi" w:hAnsiTheme="minorHAnsi" w:cstheme="minorHAnsi"/>
                  <w:sz w:val="24"/>
                  <w:szCs w:val="24"/>
                </w:rPr>
                <w:t>0</w:t>
              </w:r>
            </w:p>
            <w:p w14:paraId="66F41B8B" w14:textId="77777777" w:rsidR="00DC4755" w:rsidRDefault="00DC4755" w:rsidP="00DC4755">
              <w:pPr>
                <w:pStyle w:val="TOC1"/>
                <w:numPr>
                  <w:ilvl w:val="0"/>
                  <w:numId w:val="0"/>
                </w:numPr>
              </w:pPr>
            </w:p>
            <w:p w14:paraId="3DD18FFE" w14:textId="77777777" w:rsidR="001E2792" w:rsidRPr="00614393" w:rsidRDefault="001E2792" w:rsidP="00DC4755"/>
            <w:p w14:paraId="2B8DDDB7" w14:textId="77777777" w:rsidR="00B21E7E" w:rsidRDefault="00000000" w:rsidP="00DC4755">
              <w:pPr>
                <w:ind w:firstLine="7644"/>
                <w:rPr>
                  <w:noProof/>
                </w:rPr>
              </w:pPr>
            </w:p>
          </w:sdtContent>
        </w:sdt>
      </w:sdtContent>
    </w:sdt>
    <w:p w14:paraId="7C7F722B" w14:textId="77777777" w:rsidR="001E2792" w:rsidRDefault="001E2792" w:rsidP="001E2792">
      <w:pPr>
        <w:rPr>
          <w:noProof/>
        </w:rPr>
      </w:pPr>
    </w:p>
    <w:p w14:paraId="404BE0C5" w14:textId="77777777" w:rsidR="001E2792" w:rsidRDefault="001E2792" w:rsidP="001E2792">
      <w:pPr>
        <w:rPr>
          <w:noProof/>
        </w:rPr>
      </w:pPr>
    </w:p>
    <w:p w14:paraId="39FAB6DD" w14:textId="77777777" w:rsidR="001E2792" w:rsidRDefault="001E2792" w:rsidP="001E2792">
      <w:pPr>
        <w:rPr>
          <w:noProof/>
        </w:rPr>
      </w:pPr>
    </w:p>
    <w:p w14:paraId="62461932" w14:textId="77777777" w:rsidR="001E2792" w:rsidRDefault="001E2792" w:rsidP="001E2792">
      <w:pPr>
        <w:rPr>
          <w:noProof/>
        </w:rPr>
      </w:pPr>
    </w:p>
    <w:p w14:paraId="364175FF" w14:textId="77777777" w:rsidR="001E2792" w:rsidRDefault="001E2792" w:rsidP="001E2792">
      <w:pPr>
        <w:rPr>
          <w:noProof/>
        </w:rPr>
      </w:pPr>
    </w:p>
    <w:p w14:paraId="08588185" w14:textId="77777777" w:rsidR="001E2792" w:rsidRDefault="001E2792" w:rsidP="001E2792">
      <w:pPr>
        <w:rPr>
          <w:noProof/>
        </w:rPr>
      </w:pPr>
    </w:p>
    <w:p w14:paraId="466D828A" w14:textId="77777777" w:rsidR="001E2792" w:rsidRDefault="001E2792" w:rsidP="001E2792">
      <w:pPr>
        <w:rPr>
          <w:noProof/>
        </w:rPr>
      </w:pPr>
    </w:p>
    <w:p w14:paraId="7235BCF3" w14:textId="77777777" w:rsidR="001E2792" w:rsidRDefault="001E2792" w:rsidP="001E2792">
      <w:pPr>
        <w:rPr>
          <w:noProof/>
        </w:rPr>
      </w:pPr>
    </w:p>
    <w:p w14:paraId="18529225" w14:textId="77777777" w:rsidR="001E2792" w:rsidRDefault="001E2792" w:rsidP="001E2792">
      <w:pPr>
        <w:rPr>
          <w:noProof/>
        </w:rPr>
      </w:pPr>
    </w:p>
    <w:p w14:paraId="32BD4FA9" w14:textId="77777777" w:rsidR="001E2792" w:rsidRDefault="001E2792" w:rsidP="001E2792">
      <w:pPr>
        <w:rPr>
          <w:noProof/>
        </w:rPr>
      </w:pPr>
    </w:p>
    <w:p w14:paraId="23A5E568" w14:textId="77777777" w:rsidR="001E2792" w:rsidRDefault="001E2792" w:rsidP="001E2792">
      <w:pPr>
        <w:rPr>
          <w:noProof/>
        </w:rPr>
      </w:pPr>
    </w:p>
    <w:p w14:paraId="2E5E868C" w14:textId="77777777" w:rsidR="001E2792" w:rsidRPr="00F07498" w:rsidRDefault="001E2792" w:rsidP="001E2792">
      <w:pPr>
        <w:pStyle w:val="Heading1"/>
        <w:numPr>
          <w:ilvl w:val="0"/>
          <w:numId w:val="4"/>
        </w:numPr>
        <w:spacing w:before="0"/>
        <w:ind w:left="284" w:hanging="710"/>
        <w:rPr>
          <w:rFonts w:asciiTheme="minorHAnsi" w:eastAsia="Calibri" w:hAnsiTheme="minorHAnsi" w:cstheme="minorHAnsi"/>
          <w:b/>
          <w:bCs w:val="0"/>
          <w:color w:val="005EB8"/>
          <w:sz w:val="36"/>
          <w:szCs w:val="36"/>
        </w:rPr>
      </w:pPr>
      <w:r w:rsidRPr="00F07498">
        <w:rPr>
          <w:rFonts w:asciiTheme="minorHAnsi" w:eastAsia="Calibri" w:hAnsiTheme="minorHAnsi" w:cstheme="minorHAnsi"/>
          <w:bCs w:val="0"/>
          <w:color w:val="005EB8"/>
          <w:sz w:val="36"/>
          <w:szCs w:val="36"/>
        </w:rPr>
        <w:lastRenderedPageBreak/>
        <w:t>Introduction</w:t>
      </w:r>
    </w:p>
    <w:p w14:paraId="7B5C7270" w14:textId="77777777" w:rsidR="001E2792" w:rsidRPr="004710F0" w:rsidRDefault="001E2792" w:rsidP="001E2792">
      <w:pPr>
        <w:ind w:left="284" w:hanging="710"/>
        <w:rPr>
          <w:rFonts w:cs="Arial"/>
          <w:szCs w:val="24"/>
        </w:rPr>
      </w:pPr>
    </w:p>
    <w:p w14:paraId="249F1AC4" w14:textId="77777777" w:rsidR="001E2792" w:rsidRPr="00EB0377" w:rsidRDefault="001E2792" w:rsidP="001E2792">
      <w:pPr>
        <w:pStyle w:val="ListParagraph"/>
        <w:ind w:left="284"/>
        <w:jc w:val="both"/>
        <w:rPr>
          <w:rFonts w:cs="Arial"/>
          <w:szCs w:val="24"/>
        </w:rPr>
      </w:pPr>
      <w:r w:rsidRPr="00BB5149">
        <w:rPr>
          <w:rFonts w:cs="Arial"/>
          <w:szCs w:val="24"/>
        </w:rPr>
        <w:t xml:space="preserve">This Patient Safety Incident Response Plan (PSIRP) sets out how </w:t>
      </w:r>
      <w:r w:rsidRPr="00EB0377">
        <w:rPr>
          <w:rFonts w:cs="Arial"/>
          <w:b/>
          <w:szCs w:val="24"/>
        </w:rPr>
        <w:t>Wrightington Wigan and Leigh Teaching Hospitals NHS Foundation Trust</w:t>
      </w:r>
      <w:r w:rsidRPr="00BB5149">
        <w:rPr>
          <w:rFonts w:cs="Arial"/>
          <w:szCs w:val="24"/>
        </w:rPr>
        <w:t xml:space="preserve"> (</w:t>
      </w:r>
      <w:r w:rsidRPr="00BB5149">
        <w:rPr>
          <w:szCs w:val="24"/>
        </w:rPr>
        <w:t xml:space="preserve">hereafter referred to as </w:t>
      </w:r>
      <w:r>
        <w:rPr>
          <w:rFonts w:cs="Arial"/>
          <w:szCs w:val="24"/>
        </w:rPr>
        <w:t>WWLFT</w:t>
      </w:r>
      <w:r w:rsidRPr="00BB5149">
        <w:rPr>
          <w:rFonts w:cs="Arial"/>
          <w:szCs w:val="24"/>
        </w:rPr>
        <w:t xml:space="preserve">) intends to respond to patient safety incidents over a period of 12 to 18 months. </w:t>
      </w:r>
      <w:r>
        <w:rPr>
          <w:rFonts w:cs="Arial"/>
          <w:szCs w:val="24"/>
        </w:rPr>
        <w:t xml:space="preserve"> </w:t>
      </w:r>
      <w:r w:rsidRPr="00EB0377">
        <w:rPr>
          <w:rFonts w:cs="Arial"/>
          <w:szCs w:val="24"/>
        </w:rPr>
        <w:t>The plan is not a permanent rule that cannot be changed. The Trust will remain flexible and consider the specific circumstances in which patient safety issues and incidents occurred and the needs of those affected.</w:t>
      </w:r>
    </w:p>
    <w:p w14:paraId="06D29039" w14:textId="77777777" w:rsidR="001E2792" w:rsidRDefault="001E2792" w:rsidP="001E2792">
      <w:pPr>
        <w:rPr>
          <w:rFonts w:cs="Arial"/>
          <w:szCs w:val="24"/>
        </w:rPr>
      </w:pPr>
    </w:p>
    <w:p w14:paraId="56F384F7" w14:textId="77777777" w:rsidR="001E2792" w:rsidRDefault="001E2792" w:rsidP="001E2792">
      <w:pPr>
        <w:ind w:left="284"/>
        <w:jc w:val="both"/>
        <w:rPr>
          <w:rFonts w:cs="Arial"/>
          <w:szCs w:val="24"/>
        </w:rPr>
      </w:pPr>
      <w:r w:rsidRPr="00BB5149">
        <w:rPr>
          <w:rFonts w:cs="Arial"/>
          <w:b/>
          <w:szCs w:val="24"/>
        </w:rPr>
        <w:t>Important Note:</w:t>
      </w:r>
      <w:r w:rsidRPr="00BB5149">
        <w:rPr>
          <w:rFonts w:cs="Arial"/>
          <w:szCs w:val="24"/>
        </w:rPr>
        <w:t xml:space="preserve"> </w:t>
      </w:r>
      <w:r w:rsidRPr="00BB5149">
        <w:rPr>
          <w:rFonts w:cs="Arial"/>
          <w:i/>
          <w:iCs/>
          <w:szCs w:val="24"/>
        </w:rPr>
        <w:t xml:space="preserve">WWLFT has also developed a specific </w:t>
      </w:r>
      <w:r w:rsidRPr="00BB5149">
        <w:rPr>
          <w:rFonts w:cs="Arial"/>
          <w:b/>
          <w:i/>
          <w:iCs/>
          <w:szCs w:val="24"/>
        </w:rPr>
        <w:t>Patient Safety Incident Response Framework (PSIRF) Policy</w:t>
      </w:r>
      <w:r w:rsidRPr="00BB5149">
        <w:rPr>
          <w:rFonts w:cs="Arial"/>
          <w:i/>
          <w:iCs/>
          <w:szCs w:val="24"/>
        </w:rPr>
        <w:t xml:space="preserve"> to provide further clarity for staff on pathways for escalation, methods of review, safety action development, safety improvement </w:t>
      </w:r>
      <w:proofErr w:type="gramStart"/>
      <w:r w:rsidRPr="00BB5149">
        <w:rPr>
          <w:rFonts w:cs="Arial"/>
          <w:i/>
          <w:iCs/>
          <w:szCs w:val="24"/>
        </w:rPr>
        <w:t>plans’</w:t>
      </w:r>
      <w:proofErr w:type="gramEnd"/>
      <w:r w:rsidRPr="00BB5149">
        <w:rPr>
          <w:rFonts w:cs="Arial"/>
          <w:i/>
          <w:iCs/>
          <w:szCs w:val="24"/>
        </w:rPr>
        <w:t xml:space="preserve"> and monitoring improvement. </w:t>
      </w:r>
      <w:r>
        <w:rPr>
          <w:rFonts w:cs="Arial"/>
          <w:szCs w:val="24"/>
        </w:rPr>
        <w:t xml:space="preserve">The PSIRP should be read in conjunction with this Policy. </w:t>
      </w:r>
    </w:p>
    <w:p w14:paraId="5740E2A7" w14:textId="77777777" w:rsidR="001E2792" w:rsidRDefault="001E2792" w:rsidP="001E2792">
      <w:pPr>
        <w:ind w:left="284"/>
        <w:jc w:val="both"/>
        <w:rPr>
          <w:rFonts w:cs="Arial"/>
          <w:szCs w:val="24"/>
        </w:rPr>
      </w:pPr>
    </w:p>
    <w:p w14:paraId="6F440239" w14:textId="77777777" w:rsidR="001E2792" w:rsidRPr="00F87391" w:rsidRDefault="001E2792" w:rsidP="001E2792">
      <w:pPr>
        <w:ind w:left="284"/>
        <w:jc w:val="both"/>
        <w:rPr>
          <w:rFonts w:cs="Arial"/>
          <w:szCs w:val="24"/>
        </w:rPr>
      </w:pPr>
      <w:r w:rsidRPr="007F708E">
        <w:rPr>
          <w:rFonts w:cs="Arial"/>
          <w:szCs w:val="24"/>
        </w:rPr>
        <w:t>A glossary of terms used can be found at A</w:t>
      </w:r>
      <w:r>
        <w:rPr>
          <w:rFonts w:cs="Arial"/>
          <w:szCs w:val="24"/>
        </w:rPr>
        <w:t>nnex</w:t>
      </w:r>
      <w:r w:rsidRPr="007F708E">
        <w:rPr>
          <w:rFonts w:cs="Arial"/>
          <w:szCs w:val="24"/>
        </w:rPr>
        <w:t xml:space="preserve"> </w:t>
      </w:r>
      <w:r>
        <w:rPr>
          <w:rFonts w:cs="Arial"/>
          <w:szCs w:val="24"/>
        </w:rPr>
        <w:t>1</w:t>
      </w:r>
      <w:r w:rsidRPr="00BB5149">
        <w:rPr>
          <w:rFonts w:cs="Arial"/>
          <w:szCs w:val="24"/>
        </w:rPr>
        <w:br w:type="page"/>
      </w:r>
    </w:p>
    <w:p w14:paraId="1F163195" w14:textId="77777777" w:rsidR="001E2792" w:rsidRPr="00F07498" w:rsidRDefault="001E2792" w:rsidP="001E2792">
      <w:pPr>
        <w:pStyle w:val="Heading1"/>
        <w:numPr>
          <w:ilvl w:val="0"/>
          <w:numId w:val="4"/>
        </w:numPr>
        <w:tabs>
          <w:tab w:val="left" w:pos="426"/>
        </w:tabs>
        <w:spacing w:before="0"/>
        <w:ind w:left="284" w:hanging="568"/>
        <w:rPr>
          <w:rFonts w:asciiTheme="minorHAnsi" w:hAnsiTheme="minorHAnsi" w:cstheme="minorHAnsi"/>
          <w:b/>
          <w:bCs w:val="0"/>
          <w:color w:val="005EB8"/>
          <w:sz w:val="36"/>
          <w:szCs w:val="36"/>
        </w:rPr>
      </w:pPr>
      <w:r w:rsidRPr="00F07498">
        <w:rPr>
          <w:rFonts w:asciiTheme="minorHAnsi" w:hAnsiTheme="minorHAnsi" w:cstheme="minorHAnsi"/>
          <w:bCs w:val="0"/>
          <w:color w:val="005EB8"/>
          <w:sz w:val="36"/>
          <w:szCs w:val="36"/>
        </w:rPr>
        <w:lastRenderedPageBreak/>
        <w:t>Our Services</w:t>
      </w:r>
    </w:p>
    <w:p w14:paraId="3178D1C2" w14:textId="77777777" w:rsidR="001E2792" w:rsidRDefault="001E2792" w:rsidP="001E2792">
      <w:pPr>
        <w:ind w:firstLine="426"/>
        <w:jc w:val="both"/>
      </w:pPr>
    </w:p>
    <w:p w14:paraId="0313D4E6" w14:textId="77777777" w:rsidR="001E2792" w:rsidRPr="00DC4755" w:rsidRDefault="001E2792" w:rsidP="001E2792">
      <w:pPr>
        <w:pStyle w:val="Default"/>
        <w:ind w:left="284"/>
        <w:jc w:val="both"/>
        <w:rPr>
          <w:rFonts w:asciiTheme="minorHAnsi" w:hAnsiTheme="minorHAnsi" w:cstheme="minorHAnsi"/>
        </w:rPr>
      </w:pPr>
      <w:r w:rsidRPr="00DC4755">
        <w:rPr>
          <w:rFonts w:asciiTheme="minorHAnsi" w:hAnsiTheme="minorHAnsi" w:cstheme="minorHAnsi"/>
        </w:rPr>
        <w:t>WWLFT is registered with the Care Quality Commission (CQC) and serves a local population that includes residents of Ashton Leigh and Wigan.</w:t>
      </w:r>
    </w:p>
    <w:p w14:paraId="2ADB31BB" w14:textId="77777777" w:rsidR="001E2792" w:rsidRPr="00DC4755" w:rsidRDefault="001E2792" w:rsidP="001E2792">
      <w:pPr>
        <w:pStyle w:val="Default"/>
        <w:ind w:left="284"/>
        <w:jc w:val="both"/>
        <w:rPr>
          <w:rFonts w:asciiTheme="minorHAnsi" w:hAnsiTheme="minorHAnsi" w:cstheme="minorHAnsi"/>
        </w:rPr>
      </w:pPr>
    </w:p>
    <w:p w14:paraId="360F92ED" w14:textId="77777777" w:rsidR="001E2792" w:rsidRPr="00DC4755" w:rsidRDefault="001E2792" w:rsidP="001E2792">
      <w:pPr>
        <w:pStyle w:val="Default"/>
        <w:ind w:left="284"/>
        <w:jc w:val="both"/>
        <w:rPr>
          <w:rFonts w:asciiTheme="minorHAnsi" w:hAnsiTheme="minorHAnsi" w:cstheme="minorHAnsi"/>
        </w:rPr>
      </w:pPr>
      <w:r w:rsidRPr="00DC4755">
        <w:rPr>
          <w:rFonts w:asciiTheme="minorHAnsi" w:hAnsiTheme="minorHAnsi" w:cstheme="minorHAnsi"/>
        </w:rPr>
        <w:t>WWLFT delivers Acute and Community services, the Trust site and services have been outlined below.</w:t>
      </w:r>
    </w:p>
    <w:p w14:paraId="0E845D3A" w14:textId="77777777" w:rsidR="001E2792" w:rsidRDefault="001E2792" w:rsidP="001E2792">
      <w:pPr>
        <w:pStyle w:val="Default"/>
      </w:pPr>
    </w:p>
    <w:tbl>
      <w:tblPr>
        <w:tblStyle w:val="TableGrid"/>
        <w:tblW w:w="0" w:type="auto"/>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0"/>
        <w:gridCol w:w="7462"/>
      </w:tblGrid>
      <w:tr w:rsidR="001E2792" w14:paraId="2325F64B" w14:textId="77777777" w:rsidTr="002B7D5F">
        <w:trPr>
          <w:trHeight w:val="850"/>
        </w:trPr>
        <w:tc>
          <w:tcPr>
            <w:tcW w:w="1271" w:type="dxa"/>
            <w:shd w:val="clear" w:color="auto" w:fill="005EB8"/>
            <w:vAlign w:val="center"/>
          </w:tcPr>
          <w:p w14:paraId="06F9265B" w14:textId="77777777" w:rsidR="001E2792" w:rsidRPr="004E0AA4" w:rsidRDefault="001E2792" w:rsidP="002B7D5F">
            <w:pPr>
              <w:pStyle w:val="Default"/>
              <w:jc w:val="center"/>
              <w:rPr>
                <w:sz w:val="22"/>
                <w:szCs w:val="22"/>
              </w:rPr>
            </w:pPr>
            <w:r>
              <w:rPr>
                <w:noProof/>
                <w:sz w:val="22"/>
                <w:szCs w:val="22"/>
              </w:rPr>
              <w:drawing>
                <wp:inline distT="0" distB="0" distL="0" distR="0" wp14:anchorId="10499E59" wp14:editId="734C65B1">
                  <wp:extent cx="590550" cy="590550"/>
                  <wp:effectExtent l="0" t="0" r="0" b="0"/>
                  <wp:docPr id="1" name="Picture 1" descr="A white line icon of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ine icon of a hospita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tc>
        <w:tc>
          <w:tcPr>
            <w:tcW w:w="7505" w:type="dxa"/>
            <w:vAlign w:val="center"/>
          </w:tcPr>
          <w:p w14:paraId="1F4131F3" w14:textId="77777777" w:rsidR="001E2792" w:rsidRPr="00F87391" w:rsidRDefault="001E2792" w:rsidP="002B7D5F">
            <w:pPr>
              <w:shd w:val="clear" w:color="auto" w:fill="FEFEFE"/>
              <w:jc w:val="both"/>
              <w:outlineLvl w:val="1"/>
              <w:rPr>
                <w:rFonts w:cs="Arial"/>
              </w:rPr>
            </w:pPr>
            <w:r w:rsidRPr="00F87391">
              <w:rPr>
                <w:rFonts w:cs="Arial"/>
                <w:color w:val="005EB8"/>
              </w:rPr>
              <w:t xml:space="preserve">Royal Albert Edward Infirmary (RAEI) </w:t>
            </w:r>
            <w:r w:rsidRPr="004E0AA4">
              <w:rPr>
                <w:rFonts w:cs="Arial"/>
              </w:rPr>
              <w:t xml:space="preserve">sometimes referred to as </w:t>
            </w:r>
            <w:r>
              <w:rPr>
                <w:rFonts w:cs="Arial"/>
              </w:rPr>
              <w:t>‘</w:t>
            </w:r>
            <w:r w:rsidRPr="004E0AA4">
              <w:rPr>
                <w:rFonts w:cs="Arial"/>
              </w:rPr>
              <w:t>Wigan Infirmary</w:t>
            </w:r>
            <w:r>
              <w:rPr>
                <w:rFonts w:cs="Arial"/>
              </w:rPr>
              <w:t>’</w:t>
            </w:r>
            <w:r w:rsidRPr="004E0AA4">
              <w:rPr>
                <w:rFonts w:cs="Arial"/>
              </w:rPr>
              <w:t xml:space="preserve"> is a District General Hospital providing an inpatient base for </w:t>
            </w:r>
            <w:r>
              <w:rPr>
                <w:rFonts w:cs="Arial"/>
              </w:rPr>
              <w:t xml:space="preserve">urgent and </w:t>
            </w:r>
            <w:r w:rsidRPr="004E0AA4">
              <w:rPr>
                <w:rFonts w:cs="Arial"/>
              </w:rPr>
              <w:t xml:space="preserve">emergency </w:t>
            </w:r>
            <w:r>
              <w:rPr>
                <w:rFonts w:cs="Arial"/>
              </w:rPr>
              <w:t xml:space="preserve">care </w:t>
            </w:r>
            <w:r w:rsidRPr="004E0AA4">
              <w:rPr>
                <w:rFonts w:cs="Arial"/>
              </w:rPr>
              <w:t xml:space="preserve">and acute </w:t>
            </w:r>
            <w:r>
              <w:rPr>
                <w:rFonts w:cs="Arial"/>
              </w:rPr>
              <w:t>services</w:t>
            </w:r>
            <w:r w:rsidRPr="004E0AA4">
              <w:rPr>
                <w:rFonts w:cs="Arial"/>
              </w:rPr>
              <w:t>.</w:t>
            </w:r>
          </w:p>
        </w:tc>
      </w:tr>
      <w:tr w:rsidR="001E2792" w14:paraId="2E450E93" w14:textId="77777777" w:rsidTr="002B7D5F">
        <w:tc>
          <w:tcPr>
            <w:tcW w:w="8776" w:type="dxa"/>
            <w:gridSpan w:val="2"/>
            <w:shd w:val="clear" w:color="auto" w:fill="D9E2F3" w:themeFill="accent1" w:themeFillTint="33"/>
          </w:tcPr>
          <w:p w14:paraId="02666BDF" w14:textId="77777777" w:rsidR="001E2792" w:rsidRPr="000C7B56" w:rsidRDefault="001E2792" w:rsidP="002B7D5F">
            <w:pPr>
              <w:rPr>
                <w:sz w:val="8"/>
                <w:szCs w:val="8"/>
              </w:rPr>
            </w:pPr>
          </w:p>
        </w:tc>
      </w:tr>
      <w:tr w:rsidR="001E2792" w:rsidRPr="00DC4755" w14:paraId="6100BD91" w14:textId="77777777" w:rsidTr="002B7D5F">
        <w:trPr>
          <w:trHeight w:val="850"/>
        </w:trPr>
        <w:tc>
          <w:tcPr>
            <w:tcW w:w="1271" w:type="dxa"/>
            <w:shd w:val="clear" w:color="auto" w:fill="005EB8"/>
            <w:vAlign w:val="center"/>
          </w:tcPr>
          <w:p w14:paraId="2A4CD89A" w14:textId="77777777" w:rsidR="001E2792" w:rsidRPr="00DC4755" w:rsidRDefault="001E2792" w:rsidP="002B7D5F">
            <w:pPr>
              <w:pStyle w:val="Default"/>
              <w:jc w:val="center"/>
              <w:rPr>
                <w:b/>
                <w:bCs/>
              </w:rPr>
            </w:pPr>
            <w:r w:rsidRPr="00DC4755">
              <w:rPr>
                <w:noProof/>
                <w:sz w:val="28"/>
                <w:szCs w:val="28"/>
              </w:rPr>
              <w:drawing>
                <wp:inline distT="0" distB="0" distL="0" distR="0" wp14:anchorId="54E61B54" wp14:editId="1AB3523D">
                  <wp:extent cx="588645" cy="588645"/>
                  <wp:effectExtent l="0" t="0" r="1905" b="0"/>
                  <wp:docPr id="7" name="Picture 7" descr="Link to Wrightington Hospita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to Wrightington Hospital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7505" w:type="dxa"/>
            <w:vAlign w:val="center"/>
          </w:tcPr>
          <w:p w14:paraId="611E4317" w14:textId="77777777" w:rsidR="001E2792" w:rsidRPr="00DC4755" w:rsidRDefault="001E2792" w:rsidP="002B7D5F">
            <w:pPr>
              <w:pStyle w:val="Default"/>
              <w:ind w:right="23"/>
              <w:jc w:val="both"/>
              <w:rPr>
                <w:rFonts w:asciiTheme="minorHAnsi" w:hAnsiTheme="minorHAnsi" w:cstheme="minorHAnsi"/>
                <w:color w:val="0A0A0A"/>
                <w:shd w:val="clear" w:color="auto" w:fill="FEFEFE"/>
              </w:rPr>
            </w:pPr>
            <w:r w:rsidRPr="00DC4755">
              <w:rPr>
                <w:rFonts w:asciiTheme="minorHAnsi" w:hAnsiTheme="minorHAnsi" w:cstheme="minorHAnsi"/>
                <w:color w:val="005EB8"/>
                <w:shd w:val="clear" w:color="auto" w:fill="FEFEFE"/>
              </w:rPr>
              <w:t xml:space="preserve">Wrightington Hospital </w:t>
            </w:r>
            <w:r w:rsidRPr="00DC4755">
              <w:rPr>
                <w:rFonts w:asciiTheme="minorHAnsi" w:hAnsiTheme="minorHAnsi" w:cstheme="minorHAnsi"/>
                <w:color w:val="0A0A0A"/>
                <w:shd w:val="clear" w:color="auto" w:fill="FEFEFE"/>
              </w:rPr>
              <w:t>is a renown centre of excellence for Orthopaedic and Musculoskeletal surgery and Rheumatology Services (Both Inpatient and Outpatient facilities at site)</w:t>
            </w:r>
          </w:p>
        </w:tc>
      </w:tr>
      <w:tr w:rsidR="001E2792" w:rsidRPr="00DC4755" w14:paraId="54F032A5" w14:textId="77777777" w:rsidTr="002B7D5F">
        <w:tc>
          <w:tcPr>
            <w:tcW w:w="8776" w:type="dxa"/>
            <w:gridSpan w:val="2"/>
            <w:shd w:val="clear" w:color="auto" w:fill="D9E2F3" w:themeFill="accent1" w:themeFillTint="33"/>
          </w:tcPr>
          <w:p w14:paraId="7475594F" w14:textId="77777777" w:rsidR="001E2792" w:rsidRPr="00DC4755" w:rsidRDefault="001E2792" w:rsidP="002B7D5F">
            <w:pPr>
              <w:pStyle w:val="Default"/>
              <w:tabs>
                <w:tab w:val="left" w:pos="2216"/>
              </w:tabs>
              <w:rPr>
                <w:rFonts w:asciiTheme="minorHAnsi" w:hAnsiTheme="minorHAnsi" w:cstheme="minorHAnsi"/>
                <w:sz w:val="10"/>
                <w:szCs w:val="10"/>
              </w:rPr>
            </w:pPr>
            <w:r w:rsidRPr="00DC4755">
              <w:rPr>
                <w:rFonts w:asciiTheme="minorHAnsi" w:hAnsiTheme="minorHAnsi" w:cstheme="minorHAnsi"/>
                <w:sz w:val="28"/>
                <w:szCs w:val="28"/>
              </w:rPr>
              <w:tab/>
            </w:r>
          </w:p>
        </w:tc>
      </w:tr>
      <w:tr w:rsidR="001E2792" w:rsidRPr="00DC4755" w14:paraId="3BAA2B41" w14:textId="77777777" w:rsidTr="002B7D5F">
        <w:trPr>
          <w:trHeight w:val="1417"/>
        </w:trPr>
        <w:tc>
          <w:tcPr>
            <w:tcW w:w="1271" w:type="dxa"/>
            <w:shd w:val="clear" w:color="auto" w:fill="005EB8"/>
            <w:vAlign w:val="center"/>
          </w:tcPr>
          <w:p w14:paraId="1DD3C307" w14:textId="77777777" w:rsidR="001E2792" w:rsidRPr="00DC4755" w:rsidRDefault="001E2792" w:rsidP="002B7D5F">
            <w:pPr>
              <w:pStyle w:val="Default"/>
              <w:jc w:val="center"/>
              <w:rPr>
                <w:b/>
                <w:bCs/>
              </w:rPr>
            </w:pPr>
            <w:r w:rsidRPr="00DC4755">
              <w:rPr>
                <w:b/>
                <w:noProof/>
              </w:rPr>
              <w:drawing>
                <wp:inline distT="0" distB="0" distL="0" distR="0" wp14:anchorId="6C66B723" wp14:editId="3B8CB6C5">
                  <wp:extent cx="590550" cy="590550"/>
                  <wp:effectExtent l="0" t="0" r="0" b="0"/>
                  <wp:docPr id="8" name="Picture 8" descr="A white line icon of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line icon of a hospita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tc>
        <w:tc>
          <w:tcPr>
            <w:tcW w:w="7505" w:type="dxa"/>
            <w:vAlign w:val="center"/>
          </w:tcPr>
          <w:p w14:paraId="5FEDAA46" w14:textId="77777777" w:rsidR="001E2792" w:rsidRPr="00DC4755" w:rsidRDefault="001E2792" w:rsidP="002B7D5F">
            <w:pPr>
              <w:pStyle w:val="Default"/>
              <w:jc w:val="both"/>
              <w:rPr>
                <w:rFonts w:asciiTheme="minorHAnsi" w:hAnsiTheme="minorHAnsi" w:cstheme="minorHAnsi"/>
              </w:rPr>
            </w:pPr>
            <w:r w:rsidRPr="00DC4755">
              <w:rPr>
                <w:rFonts w:asciiTheme="minorHAnsi" w:hAnsiTheme="minorHAnsi" w:cstheme="minorHAnsi"/>
                <w:color w:val="005EB8"/>
              </w:rPr>
              <w:t xml:space="preserve">Leigh Infirmary </w:t>
            </w:r>
            <w:r w:rsidRPr="00DC4755">
              <w:rPr>
                <w:rFonts w:asciiTheme="minorHAnsi" w:hAnsiTheme="minorHAnsi" w:cstheme="minorHAnsi"/>
              </w:rPr>
              <w:t xml:space="preserve">is our elective diagnostic and rehabilitation site that complements our emergency site Wigan Infirmary. This site is devoted to day services elective care, protected from the pressures of emergency work </w:t>
            </w:r>
            <w:proofErr w:type="gramStart"/>
            <w:r w:rsidRPr="00DC4755">
              <w:rPr>
                <w:rFonts w:asciiTheme="minorHAnsi" w:hAnsiTheme="minorHAnsi" w:cstheme="minorHAnsi"/>
              </w:rPr>
              <w:t>and also</w:t>
            </w:r>
            <w:proofErr w:type="gramEnd"/>
            <w:r w:rsidRPr="00DC4755">
              <w:rPr>
                <w:rFonts w:asciiTheme="minorHAnsi" w:hAnsiTheme="minorHAnsi" w:cstheme="minorHAnsi"/>
              </w:rPr>
              <w:t xml:space="preserve"> provides an atmosphere that is appealing to patients who require elective diagnostic procedures. </w:t>
            </w:r>
          </w:p>
        </w:tc>
      </w:tr>
      <w:tr w:rsidR="001E2792" w:rsidRPr="00DC4755" w14:paraId="58889ACF" w14:textId="77777777" w:rsidTr="002B7D5F">
        <w:tc>
          <w:tcPr>
            <w:tcW w:w="8776" w:type="dxa"/>
            <w:gridSpan w:val="2"/>
            <w:shd w:val="clear" w:color="auto" w:fill="D9E2F3" w:themeFill="accent1" w:themeFillTint="33"/>
            <w:vAlign w:val="center"/>
          </w:tcPr>
          <w:p w14:paraId="0A4A1EB4" w14:textId="77777777" w:rsidR="001E2792" w:rsidRPr="00DC4755" w:rsidRDefault="001E2792" w:rsidP="002B7D5F">
            <w:pPr>
              <w:pStyle w:val="Default"/>
              <w:jc w:val="both"/>
              <w:rPr>
                <w:rFonts w:asciiTheme="minorHAnsi" w:hAnsiTheme="minorHAnsi" w:cstheme="minorHAnsi"/>
                <w:sz w:val="10"/>
                <w:szCs w:val="10"/>
              </w:rPr>
            </w:pPr>
          </w:p>
        </w:tc>
      </w:tr>
      <w:tr w:rsidR="001E2792" w:rsidRPr="00DC4755" w14:paraId="1628BF6F" w14:textId="77777777" w:rsidTr="002B7D5F">
        <w:trPr>
          <w:trHeight w:val="850"/>
        </w:trPr>
        <w:tc>
          <w:tcPr>
            <w:tcW w:w="1271" w:type="dxa"/>
            <w:shd w:val="clear" w:color="auto" w:fill="005EB8"/>
            <w:vAlign w:val="center"/>
          </w:tcPr>
          <w:p w14:paraId="0BA7D29E" w14:textId="77777777" w:rsidR="001E2792" w:rsidRPr="00DC4755" w:rsidRDefault="001E2792" w:rsidP="002B7D5F">
            <w:pPr>
              <w:pStyle w:val="Default"/>
              <w:jc w:val="center"/>
              <w:rPr>
                <w:b/>
                <w:bCs/>
              </w:rPr>
            </w:pPr>
            <w:r w:rsidRPr="00DC4755">
              <w:rPr>
                <w:b/>
                <w:noProof/>
              </w:rPr>
              <w:drawing>
                <wp:inline distT="0" distB="0" distL="0" distR="0" wp14:anchorId="204C838D" wp14:editId="325F85D9">
                  <wp:extent cx="590550" cy="590550"/>
                  <wp:effectExtent l="0" t="0" r="0" b="0"/>
                  <wp:docPr id="9" name="Picture 9" descr="A white lin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line drawing of a build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tc>
        <w:tc>
          <w:tcPr>
            <w:tcW w:w="7505" w:type="dxa"/>
            <w:vAlign w:val="center"/>
          </w:tcPr>
          <w:p w14:paraId="40479B97" w14:textId="77777777" w:rsidR="001E2792" w:rsidRPr="00DC4755" w:rsidRDefault="001E2792" w:rsidP="002B7D5F">
            <w:pPr>
              <w:pStyle w:val="Default"/>
              <w:jc w:val="both"/>
              <w:rPr>
                <w:rFonts w:asciiTheme="minorHAnsi" w:hAnsiTheme="minorHAnsi" w:cstheme="minorHAnsi"/>
              </w:rPr>
            </w:pPr>
            <w:r w:rsidRPr="00DC4755">
              <w:rPr>
                <w:rFonts w:asciiTheme="minorHAnsi" w:hAnsiTheme="minorHAnsi" w:cstheme="minorHAnsi"/>
                <w:color w:val="005EB8"/>
              </w:rPr>
              <w:t xml:space="preserve">The Thomas Linacre Outpatients Centre </w:t>
            </w:r>
            <w:r w:rsidRPr="00DC4755">
              <w:rPr>
                <w:rFonts w:asciiTheme="minorHAnsi" w:hAnsiTheme="minorHAnsi" w:cstheme="minorHAnsi"/>
              </w:rPr>
              <w:t>provides outpatient care to residents of the WWLFT catchment area, with 96 Consultant led clinics per week and treating over 100,000 patients per annum.</w:t>
            </w:r>
          </w:p>
        </w:tc>
      </w:tr>
      <w:tr w:rsidR="001E2792" w:rsidRPr="00DC4755" w14:paraId="4AE2A89C" w14:textId="77777777" w:rsidTr="002B7D5F">
        <w:tc>
          <w:tcPr>
            <w:tcW w:w="8776" w:type="dxa"/>
            <w:gridSpan w:val="2"/>
            <w:shd w:val="clear" w:color="auto" w:fill="D9E2F3" w:themeFill="accent1" w:themeFillTint="33"/>
          </w:tcPr>
          <w:p w14:paraId="3444B50E" w14:textId="77777777" w:rsidR="001E2792" w:rsidRPr="00DC4755" w:rsidRDefault="001E2792" w:rsidP="002B7D5F">
            <w:pPr>
              <w:rPr>
                <w:rFonts w:asciiTheme="minorHAnsi" w:hAnsiTheme="minorHAnsi" w:cstheme="minorHAnsi"/>
                <w:sz w:val="10"/>
                <w:szCs w:val="10"/>
              </w:rPr>
            </w:pPr>
          </w:p>
        </w:tc>
      </w:tr>
      <w:tr w:rsidR="001E2792" w:rsidRPr="00DC4755" w14:paraId="5F7F98C2" w14:textId="77777777" w:rsidTr="002B7D5F">
        <w:trPr>
          <w:trHeight w:val="1417"/>
        </w:trPr>
        <w:tc>
          <w:tcPr>
            <w:tcW w:w="1271" w:type="dxa"/>
            <w:shd w:val="clear" w:color="auto" w:fill="005EB8"/>
            <w:vAlign w:val="center"/>
          </w:tcPr>
          <w:p w14:paraId="746B504B" w14:textId="77777777" w:rsidR="001E2792" w:rsidRPr="00DC4755" w:rsidRDefault="001E2792" w:rsidP="002B7D5F">
            <w:pPr>
              <w:pStyle w:val="Default"/>
              <w:jc w:val="center"/>
              <w:rPr>
                <w:b/>
                <w:bCs/>
              </w:rPr>
            </w:pPr>
            <w:r w:rsidRPr="00DC4755">
              <w:rPr>
                <w:noProof/>
                <w:sz w:val="28"/>
                <w:szCs w:val="28"/>
              </w:rPr>
              <w:drawing>
                <wp:inline distT="0" distB="0" distL="0" distR="0" wp14:anchorId="159EB691" wp14:editId="04CE9F43">
                  <wp:extent cx="588645" cy="588645"/>
                  <wp:effectExtent l="0" t="0" r="1905" b="0"/>
                  <wp:docPr id="6" name="Picture 6" descr="Link to Community Care Loca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to Community Care Locations 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7505" w:type="dxa"/>
            <w:vAlign w:val="center"/>
          </w:tcPr>
          <w:p w14:paraId="53F45577" w14:textId="77777777" w:rsidR="001E2792" w:rsidRPr="00DC4755" w:rsidRDefault="001E2792" w:rsidP="002B7D5F">
            <w:pPr>
              <w:pStyle w:val="Default"/>
              <w:jc w:val="both"/>
              <w:rPr>
                <w:rFonts w:asciiTheme="minorHAnsi" w:hAnsiTheme="minorHAnsi" w:cstheme="minorHAnsi"/>
              </w:rPr>
            </w:pPr>
            <w:r w:rsidRPr="00DC4755">
              <w:rPr>
                <w:rFonts w:asciiTheme="minorHAnsi" w:hAnsiTheme="minorHAnsi" w:cstheme="minorHAnsi"/>
                <w:color w:val="005EB8"/>
              </w:rPr>
              <w:t>Community Services</w:t>
            </w:r>
            <w:r w:rsidRPr="00DC4755">
              <w:rPr>
                <w:rFonts w:asciiTheme="minorHAnsi" w:hAnsiTheme="minorHAnsi" w:cstheme="minorHAnsi"/>
              </w:rPr>
              <w:t xml:space="preserve"> provide out of hospital care and treatment for adults and children across the locality and often support people with multiple or complex health care needs. The services are provided in a wide range of locations including community centres, schools and in people's own homes.</w:t>
            </w:r>
          </w:p>
        </w:tc>
      </w:tr>
    </w:tbl>
    <w:p w14:paraId="3D144536" w14:textId="77777777" w:rsidR="001E2792" w:rsidRPr="00DC4755" w:rsidRDefault="001E2792" w:rsidP="001E2792">
      <w:pPr>
        <w:pStyle w:val="Default"/>
        <w:ind w:left="284"/>
        <w:rPr>
          <w:sz w:val="28"/>
          <w:szCs w:val="28"/>
        </w:rPr>
      </w:pPr>
    </w:p>
    <w:p w14:paraId="4DAFF053" w14:textId="77777777" w:rsidR="001E2792" w:rsidRPr="00F122CB" w:rsidRDefault="001E2792" w:rsidP="001E2792">
      <w:pPr>
        <w:pStyle w:val="Default"/>
        <w:ind w:firstLine="425"/>
      </w:pPr>
    </w:p>
    <w:p w14:paraId="71A37378" w14:textId="77777777" w:rsidR="001E2792" w:rsidRPr="00F122CB" w:rsidRDefault="001E2792" w:rsidP="001E2792">
      <w:pPr>
        <w:ind w:firstLine="425"/>
        <w:rPr>
          <w:szCs w:val="24"/>
        </w:rPr>
      </w:pPr>
      <w:r w:rsidRPr="00F122CB">
        <w:rPr>
          <w:szCs w:val="24"/>
        </w:rPr>
        <w:t>Further information about our organisation can be found on the WWLFT website.</w:t>
      </w:r>
    </w:p>
    <w:p w14:paraId="2691C233" w14:textId="77777777" w:rsidR="001E2792" w:rsidRPr="00F122CB" w:rsidRDefault="001E2792" w:rsidP="001E2792">
      <w:pPr>
        <w:ind w:firstLine="425"/>
        <w:rPr>
          <w:rFonts w:cs="Arial"/>
          <w:szCs w:val="24"/>
        </w:rPr>
      </w:pPr>
      <w:hyperlink r:id="rId14" w:history="1">
        <w:r w:rsidRPr="00F122CB">
          <w:rPr>
            <w:color w:val="0000FF"/>
            <w:szCs w:val="24"/>
            <w:u w:val="single"/>
          </w:rPr>
          <w:t>WWL Teaching Hospitals NHS Foundation Trust | WWL NHS Foundation Trust</w:t>
        </w:r>
      </w:hyperlink>
      <w:r w:rsidRPr="00F122CB">
        <w:rPr>
          <w:rFonts w:cs="Arial"/>
          <w:szCs w:val="24"/>
        </w:rPr>
        <w:t xml:space="preserve"> </w:t>
      </w:r>
    </w:p>
    <w:p w14:paraId="40D3DEE4" w14:textId="77777777" w:rsidR="001E2792" w:rsidRPr="00F122CB" w:rsidRDefault="001E2792" w:rsidP="001E2792">
      <w:pPr>
        <w:ind w:firstLine="425"/>
        <w:rPr>
          <w:rFonts w:eastAsiaTheme="majorEastAsia" w:cs="Arial"/>
          <w:bCs w:val="0"/>
          <w:szCs w:val="24"/>
        </w:rPr>
      </w:pPr>
      <w:r w:rsidRPr="00F122CB">
        <w:rPr>
          <w:rFonts w:cs="Arial"/>
          <w:szCs w:val="24"/>
        </w:rPr>
        <w:br w:type="page"/>
      </w:r>
    </w:p>
    <w:p w14:paraId="1B1AABCB" w14:textId="77777777" w:rsidR="001E2792" w:rsidRPr="00F07498" w:rsidRDefault="001E2792" w:rsidP="001E2792">
      <w:pPr>
        <w:pStyle w:val="Heading2"/>
        <w:spacing w:before="0"/>
        <w:ind w:left="-426" w:firstLine="142"/>
        <w:rPr>
          <w:rFonts w:ascii="Calibri" w:hAnsi="Calibri" w:cs="Calibri"/>
          <w:color w:val="005EB8"/>
          <w:sz w:val="36"/>
          <w:szCs w:val="36"/>
        </w:rPr>
      </w:pPr>
      <w:r w:rsidRPr="00F07498">
        <w:rPr>
          <w:rFonts w:ascii="Calibri" w:hAnsi="Calibri" w:cs="Calibri"/>
          <w:color w:val="005EB8"/>
          <w:sz w:val="36"/>
          <w:szCs w:val="36"/>
        </w:rPr>
        <w:lastRenderedPageBreak/>
        <w:t>3.   Defining our Patient Safety Incident Profile</w:t>
      </w:r>
    </w:p>
    <w:p w14:paraId="693D51DA" w14:textId="77777777" w:rsidR="001E2792" w:rsidRPr="004710F0" w:rsidRDefault="001E2792" w:rsidP="001E2792">
      <w:pPr>
        <w:rPr>
          <w:rFonts w:eastAsiaTheme="majorEastAsia" w:cs="Arial"/>
          <w:bCs w:val="0"/>
          <w:color w:val="0070C0"/>
          <w:szCs w:val="24"/>
        </w:rPr>
      </w:pPr>
    </w:p>
    <w:p w14:paraId="707A007E" w14:textId="77777777" w:rsidR="001E2792" w:rsidRDefault="001E2792" w:rsidP="001E2792">
      <w:pPr>
        <w:ind w:left="284"/>
        <w:jc w:val="both"/>
        <w:rPr>
          <w:szCs w:val="24"/>
        </w:rPr>
      </w:pPr>
      <w:r>
        <w:rPr>
          <w:szCs w:val="24"/>
        </w:rPr>
        <w:t>WWLFT</w:t>
      </w:r>
      <w:r w:rsidRPr="00493D7C">
        <w:rPr>
          <w:szCs w:val="24"/>
        </w:rPr>
        <w:t xml:space="preserve"> has a continuous commitment to learning from patient safety incidents and ha</w:t>
      </w:r>
      <w:r>
        <w:rPr>
          <w:szCs w:val="24"/>
        </w:rPr>
        <w:t xml:space="preserve">s </w:t>
      </w:r>
      <w:r w:rsidRPr="00493D7C">
        <w:rPr>
          <w:szCs w:val="24"/>
        </w:rPr>
        <w:t xml:space="preserve">developed our understanding and insights into patient safety matters over a </w:t>
      </w:r>
      <w:r>
        <w:rPr>
          <w:szCs w:val="24"/>
        </w:rPr>
        <w:t>significant number of years</w:t>
      </w:r>
      <w:r w:rsidRPr="00493D7C">
        <w:rPr>
          <w:szCs w:val="24"/>
        </w:rPr>
        <w:t xml:space="preserve">. </w:t>
      </w:r>
      <w:r>
        <w:rPr>
          <w:szCs w:val="24"/>
        </w:rPr>
        <w:t xml:space="preserve">The Trust </w:t>
      </w:r>
      <w:r w:rsidRPr="00493D7C">
        <w:rPr>
          <w:szCs w:val="24"/>
        </w:rPr>
        <w:t>ha</w:t>
      </w:r>
      <w:r>
        <w:rPr>
          <w:szCs w:val="24"/>
        </w:rPr>
        <w:t>s</w:t>
      </w:r>
      <w:r w:rsidRPr="00493D7C">
        <w:rPr>
          <w:szCs w:val="24"/>
        </w:rPr>
        <w:t xml:space="preserve"> an Executive-led </w:t>
      </w:r>
      <w:r>
        <w:rPr>
          <w:szCs w:val="24"/>
        </w:rPr>
        <w:t xml:space="preserve">Safety </w:t>
      </w:r>
      <w:proofErr w:type="gramStart"/>
      <w:r>
        <w:rPr>
          <w:szCs w:val="24"/>
        </w:rPr>
        <w:t xml:space="preserve">Group, </w:t>
      </w:r>
      <w:r w:rsidRPr="00493D7C">
        <w:rPr>
          <w:szCs w:val="24"/>
        </w:rPr>
        <w:t xml:space="preserve"> Divisional</w:t>
      </w:r>
      <w:proofErr w:type="gramEnd"/>
      <w:r w:rsidRPr="00493D7C">
        <w:rPr>
          <w:szCs w:val="24"/>
        </w:rPr>
        <w:t xml:space="preserve"> Safety </w:t>
      </w:r>
      <w:r>
        <w:rPr>
          <w:szCs w:val="24"/>
        </w:rPr>
        <w:t>H</w:t>
      </w:r>
      <w:r w:rsidRPr="00493D7C">
        <w:rPr>
          <w:szCs w:val="24"/>
        </w:rPr>
        <w:t xml:space="preserve">uddles and </w:t>
      </w:r>
      <w:r>
        <w:rPr>
          <w:szCs w:val="24"/>
        </w:rPr>
        <w:t xml:space="preserve">a </w:t>
      </w:r>
      <w:r w:rsidRPr="00493D7C">
        <w:rPr>
          <w:szCs w:val="24"/>
        </w:rPr>
        <w:t xml:space="preserve">Strategic Patient Safety Group </w:t>
      </w:r>
      <w:r>
        <w:rPr>
          <w:szCs w:val="24"/>
        </w:rPr>
        <w:t xml:space="preserve">to ensure the </w:t>
      </w:r>
      <w:r w:rsidRPr="00493D7C">
        <w:rPr>
          <w:szCs w:val="24"/>
        </w:rPr>
        <w:t xml:space="preserve">oversight of the Trust’s patient safety </w:t>
      </w:r>
      <w:r>
        <w:rPr>
          <w:szCs w:val="24"/>
        </w:rPr>
        <w:t xml:space="preserve">activity and </w:t>
      </w:r>
      <w:r w:rsidRPr="00493D7C">
        <w:rPr>
          <w:szCs w:val="24"/>
        </w:rPr>
        <w:t xml:space="preserve">improvement. </w:t>
      </w:r>
    </w:p>
    <w:p w14:paraId="1371DBFC" w14:textId="77777777" w:rsidR="001E2792" w:rsidRPr="002E7C68" w:rsidRDefault="001E2792" w:rsidP="001E2792">
      <w:pPr>
        <w:ind w:left="284"/>
        <w:rPr>
          <w:sz w:val="16"/>
          <w:szCs w:val="16"/>
        </w:rPr>
      </w:pPr>
    </w:p>
    <w:p w14:paraId="12110FEB" w14:textId="77777777" w:rsidR="001E2792" w:rsidRDefault="001E2792" w:rsidP="001E2792">
      <w:pPr>
        <w:ind w:left="284"/>
        <w:jc w:val="both"/>
        <w:rPr>
          <w:szCs w:val="24"/>
        </w:rPr>
      </w:pPr>
      <w:bookmarkStart w:id="0" w:name="_Hlk141875258"/>
      <w:r w:rsidRPr="001E2792">
        <w:rPr>
          <w:szCs w:val="24"/>
        </w:rPr>
        <w:t>In the last three years, more than 40,000 patient safety incidents have been reported with &lt;0.5% of these being investigated as a Serious Incident as per the Serious Incident Framework (NHSE, 2015) A large portion of the work our Divisional Governance colleagues undertake is related to serious incident investigations, Arguably, there is a disproportionate amount of time spent on carrying out serious incident investigations, significantly this limits time to learn thematically from the other 99.5% of patient safety incidents. In short, the burden of effort is placed on fewer than 0.5% of all patient safety incidents.</w:t>
      </w:r>
    </w:p>
    <w:p w14:paraId="339C54C8" w14:textId="77777777" w:rsidR="001E2792" w:rsidRPr="001E2792" w:rsidRDefault="001E2792" w:rsidP="001E2792">
      <w:pPr>
        <w:ind w:left="284"/>
        <w:jc w:val="both"/>
        <w:rPr>
          <w:szCs w:val="24"/>
        </w:rPr>
      </w:pPr>
    </w:p>
    <w:p w14:paraId="0F6D4F28" w14:textId="77777777" w:rsidR="001E2792" w:rsidRPr="001E2792" w:rsidRDefault="001E2792" w:rsidP="001E2792">
      <w:pPr>
        <w:ind w:left="284"/>
        <w:jc w:val="both"/>
        <w:rPr>
          <w:szCs w:val="24"/>
        </w:rPr>
      </w:pPr>
      <w:r w:rsidRPr="001E2792">
        <w:rPr>
          <w:szCs w:val="24"/>
        </w:rPr>
        <w:t xml:space="preserve">WWLFT recognises that the patient safety risk process is a collaborative process. A key part of developing the new national approach (the PSIRF) is for us to understand our patient safety incident profile. </w:t>
      </w:r>
    </w:p>
    <w:bookmarkEnd w:id="0"/>
    <w:p w14:paraId="6F82647B" w14:textId="77777777" w:rsidR="001E2792" w:rsidRDefault="001E2792" w:rsidP="001E2792">
      <w:pPr>
        <w:ind w:left="284"/>
        <w:jc w:val="both"/>
        <w:rPr>
          <w:szCs w:val="24"/>
        </w:rPr>
      </w:pPr>
      <w:r w:rsidRPr="001E2792">
        <w:rPr>
          <w:szCs w:val="24"/>
        </w:rPr>
        <w:t xml:space="preserve">To define our patient safety risks and responses for 2023/24 a Patient Safety Incident Response Framework (PSIRF) Task &amp; Finish Group has been established. The group works collaboratively to develop a robust delivery plan that is inclusive of the development, approval and implementation of both a PSIRF Policy and Plan.  </w:t>
      </w:r>
    </w:p>
    <w:p w14:paraId="7855B04D" w14:textId="77777777" w:rsidR="001E2792" w:rsidRPr="001E2792" w:rsidRDefault="001E2792" w:rsidP="001E2792">
      <w:pPr>
        <w:ind w:left="284"/>
        <w:jc w:val="both"/>
        <w:rPr>
          <w:szCs w:val="24"/>
        </w:rPr>
      </w:pPr>
    </w:p>
    <w:p w14:paraId="0A59704A" w14:textId="77777777" w:rsidR="001E2792" w:rsidRPr="001E2792" w:rsidRDefault="001E2792" w:rsidP="001E2792">
      <w:pPr>
        <w:pStyle w:val="Default"/>
        <w:spacing w:after="156"/>
        <w:ind w:left="284"/>
        <w:jc w:val="both"/>
        <w:rPr>
          <w:rFonts w:asciiTheme="minorHAnsi" w:hAnsiTheme="minorHAnsi" w:cstheme="minorHAnsi"/>
          <w:b/>
          <w:bCs w:val="0"/>
          <w:color w:val="auto"/>
        </w:rPr>
      </w:pPr>
      <w:r w:rsidRPr="001E2792">
        <w:rPr>
          <w:rFonts w:asciiTheme="minorHAnsi" w:hAnsiTheme="minorHAnsi" w:cstheme="minorHAnsi"/>
          <w:b/>
          <w:color w:val="auto"/>
        </w:rPr>
        <w:t>Stakeholder Engagement</w:t>
      </w:r>
    </w:p>
    <w:p w14:paraId="2435732B" w14:textId="77777777" w:rsidR="001E2792" w:rsidRPr="001E2792" w:rsidRDefault="001E2792" w:rsidP="001E2792">
      <w:pPr>
        <w:pStyle w:val="Default"/>
        <w:spacing w:after="156"/>
        <w:ind w:left="284"/>
        <w:jc w:val="both"/>
        <w:rPr>
          <w:rFonts w:asciiTheme="minorHAnsi" w:hAnsiTheme="minorHAnsi" w:cstheme="minorHAnsi"/>
        </w:rPr>
      </w:pPr>
      <w:r w:rsidRPr="001E2792">
        <w:rPr>
          <w:rFonts w:asciiTheme="minorHAnsi" w:hAnsiTheme="minorHAnsi" w:cstheme="minorHAnsi"/>
          <w:color w:val="auto"/>
        </w:rPr>
        <w:t xml:space="preserve">An important component of this work is to understand our patient safety incident profile, to undertake this work the following stakeholders were engaged. </w:t>
      </w:r>
    </w:p>
    <w:p w14:paraId="318FF983" w14:textId="77777777" w:rsidR="001E2792" w:rsidRPr="001E2792" w:rsidRDefault="001E2792" w:rsidP="001E2792">
      <w:pPr>
        <w:pStyle w:val="Default"/>
        <w:numPr>
          <w:ilvl w:val="0"/>
          <w:numId w:val="5"/>
        </w:numPr>
        <w:spacing w:after="156"/>
        <w:jc w:val="both"/>
        <w:rPr>
          <w:rFonts w:asciiTheme="minorHAnsi" w:hAnsiTheme="minorHAnsi" w:cstheme="minorHAnsi"/>
        </w:rPr>
      </w:pPr>
      <w:r w:rsidRPr="001E2792">
        <w:rPr>
          <w:rFonts w:asciiTheme="minorHAnsi" w:hAnsiTheme="minorHAnsi" w:cstheme="minorHAnsi"/>
        </w:rPr>
        <w:t xml:space="preserve">Trust Staff: through the incidents reported on the WWLFT Datix system. </w:t>
      </w:r>
    </w:p>
    <w:p w14:paraId="7B63D59A" w14:textId="77777777" w:rsidR="001E2792" w:rsidRPr="001E2792" w:rsidRDefault="001E2792" w:rsidP="001E2792">
      <w:pPr>
        <w:pStyle w:val="Default"/>
        <w:numPr>
          <w:ilvl w:val="0"/>
          <w:numId w:val="5"/>
        </w:numPr>
        <w:spacing w:after="156"/>
        <w:jc w:val="both"/>
        <w:rPr>
          <w:rFonts w:asciiTheme="minorHAnsi" w:hAnsiTheme="minorHAnsi" w:cstheme="minorHAnsi"/>
        </w:rPr>
      </w:pPr>
      <w:r w:rsidRPr="001E2792">
        <w:rPr>
          <w:rFonts w:asciiTheme="minorHAnsi" w:hAnsiTheme="minorHAnsi" w:cstheme="minorHAnsi"/>
        </w:rPr>
        <w:t>Quality Improvement leads who have supported the stakeholder mapping process.</w:t>
      </w:r>
    </w:p>
    <w:p w14:paraId="40066BEF" w14:textId="77777777" w:rsidR="001E2792" w:rsidRPr="001E2792" w:rsidRDefault="001E2792" w:rsidP="001E2792">
      <w:pPr>
        <w:pStyle w:val="Default"/>
        <w:numPr>
          <w:ilvl w:val="0"/>
          <w:numId w:val="5"/>
        </w:numPr>
        <w:spacing w:after="156"/>
        <w:jc w:val="both"/>
        <w:rPr>
          <w:rFonts w:asciiTheme="minorHAnsi" w:hAnsiTheme="minorHAnsi" w:cstheme="minorHAnsi"/>
        </w:rPr>
      </w:pPr>
      <w:r w:rsidRPr="001E2792">
        <w:rPr>
          <w:rFonts w:asciiTheme="minorHAnsi" w:hAnsiTheme="minorHAnsi" w:cstheme="minorHAnsi"/>
        </w:rPr>
        <w:t>Senior leaders across the Trusts divisions through stakeholder meetings and events.</w:t>
      </w:r>
    </w:p>
    <w:p w14:paraId="51677462" w14:textId="77777777" w:rsidR="001E2792" w:rsidRPr="001E2792" w:rsidRDefault="001E2792" w:rsidP="001E2792">
      <w:pPr>
        <w:pStyle w:val="Default"/>
        <w:numPr>
          <w:ilvl w:val="0"/>
          <w:numId w:val="5"/>
        </w:numPr>
        <w:spacing w:after="156"/>
        <w:jc w:val="both"/>
        <w:rPr>
          <w:rFonts w:asciiTheme="minorHAnsi" w:hAnsiTheme="minorHAnsi" w:cstheme="minorHAnsi"/>
          <w:color w:val="auto"/>
        </w:rPr>
      </w:pPr>
      <w:r w:rsidRPr="001E2792">
        <w:rPr>
          <w:rFonts w:asciiTheme="minorHAnsi" w:hAnsiTheme="minorHAnsi" w:cstheme="minorHAnsi"/>
          <w:color w:val="auto"/>
        </w:rPr>
        <w:t>Patient groups through a review of the thematic contents of complaints and Patient advice and liaison service (PALS) contacts.</w:t>
      </w:r>
    </w:p>
    <w:p w14:paraId="08E8B529" w14:textId="77777777" w:rsidR="001E2792" w:rsidRPr="001E2792" w:rsidRDefault="001E2792" w:rsidP="001E2792">
      <w:pPr>
        <w:pStyle w:val="Default"/>
        <w:numPr>
          <w:ilvl w:val="0"/>
          <w:numId w:val="5"/>
        </w:numPr>
        <w:spacing w:after="156"/>
        <w:jc w:val="both"/>
        <w:rPr>
          <w:rFonts w:asciiTheme="minorHAnsi" w:hAnsiTheme="minorHAnsi" w:cstheme="minorHAnsi"/>
          <w:color w:val="auto"/>
        </w:rPr>
      </w:pPr>
      <w:r w:rsidRPr="001E2792">
        <w:rPr>
          <w:rFonts w:asciiTheme="minorHAnsi" w:hAnsiTheme="minorHAnsi" w:cstheme="minorHAnsi"/>
          <w:color w:val="auto"/>
        </w:rPr>
        <w:t>Organisation Development/Human Resources leads.</w:t>
      </w:r>
    </w:p>
    <w:p w14:paraId="627AAC66" w14:textId="77777777" w:rsidR="001E2792" w:rsidRPr="001E2792" w:rsidRDefault="001E2792" w:rsidP="001E2792">
      <w:pPr>
        <w:pStyle w:val="Default"/>
        <w:numPr>
          <w:ilvl w:val="0"/>
          <w:numId w:val="5"/>
        </w:numPr>
        <w:jc w:val="both"/>
        <w:rPr>
          <w:rFonts w:asciiTheme="minorHAnsi" w:hAnsiTheme="minorHAnsi" w:cstheme="minorHAnsi"/>
          <w:color w:val="FF0000"/>
        </w:rPr>
      </w:pPr>
      <w:r w:rsidRPr="001E2792">
        <w:rPr>
          <w:rFonts w:asciiTheme="minorHAnsi" w:hAnsiTheme="minorHAnsi" w:cstheme="minorHAnsi"/>
        </w:rPr>
        <w:t xml:space="preserve">NHS Greater Manchester Integrated Care System (NHS GM ICS) partner organisation through partnership working with the NHS GM ICS Quality leads. </w:t>
      </w:r>
    </w:p>
    <w:p w14:paraId="1734C256" w14:textId="77777777" w:rsidR="001E2792" w:rsidRPr="001E2792" w:rsidRDefault="001E2792" w:rsidP="001E2792">
      <w:pPr>
        <w:pStyle w:val="Default"/>
        <w:ind w:left="644"/>
        <w:jc w:val="both"/>
        <w:rPr>
          <w:rFonts w:asciiTheme="minorHAnsi" w:hAnsiTheme="minorHAnsi" w:cstheme="minorHAnsi"/>
          <w:u w:val="single"/>
        </w:rPr>
      </w:pPr>
    </w:p>
    <w:p w14:paraId="5E102BB1" w14:textId="77777777" w:rsidR="001E2792" w:rsidRPr="001E2792" w:rsidRDefault="001E2792" w:rsidP="001E2792">
      <w:pPr>
        <w:pStyle w:val="Default"/>
        <w:ind w:left="644"/>
        <w:jc w:val="both"/>
        <w:rPr>
          <w:rFonts w:asciiTheme="minorHAnsi" w:hAnsiTheme="minorHAnsi" w:cstheme="minorHAnsi"/>
          <w:color w:val="FF0000"/>
        </w:rPr>
      </w:pPr>
      <w:r w:rsidRPr="001E2792">
        <w:rPr>
          <w:rFonts w:asciiTheme="minorHAnsi" w:hAnsiTheme="minorHAnsi" w:cstheme="minorHAnsi"/>
          <w:u w:val="single"/>
        </w:rPr>
        <w:t>Important Note</w:t>
      </w:r>
      <w:r w:rsidRPr="001E2792">
        <w:rPr>
          <w:rFonts w:asciiTheme="minorHAnsi" w:hAnsiTheme="minorHAnsi" w:cstheme="minorHAnsi"/>
        </w:rPr>
        <w:t xml:space="preserve">: WWLFT aims to incorporate a wider patient perspective into future planning through the introduction of Patient Safety Partners (PSPs). Information on the national PSP programme can be found on the NHS England website at: </w:t>
      </w:r>
      <w:hyperlink r:id="rId15" w:history="1">
        <w:r w:rsidRPr="001E2792">
          <w:rPr>
            <w:rStyle w:val="Hyperlink"/>
            <w:rFonts w:asciiTheme="minorHAnsi" w:hAnsiTheme="minorHAnsi" w:cstheme="minorHAnsi"/>
          </w:rPr>
          <w:t>https://www.england.nhs.uk/patient-safety/framework-for-involving-patients-in-patient-safety/</w:t>
        </w:r>
      </w:hyperlink>
      <w:r w:rsidRPr="001E2792">
        <w:rPr>
          <w:rFonts w:asciiTheme="minorHAnsi" w:hAnsiTheme="minorHAnsi" w:cstheme="minorHAnsi"/>
        </w:rPr>
        <w:t xml:space="preserve"> </w:t>
      </w:r>
    </w:p>
    <w:p w14:paraId="2D6905F6" w14:textId="77777777" w:rsidR="001E2792" w:rsidRDefault="001E2792" w:rsidP="001E2792">
      <w:pPr>
        <w:jc w:val="both"/>
        <w:rPr>
          <w:rFonts w:cs="Arial"/>
        </w:rPr>
      </w:pPr>
    </w:p>
    <w:p w14:paraId="31166DFC" w14:textId="77777777" w:rsidR="001E2792" w:rsidRPr="00F536C8" w:rsidRDefault="001E2792" w:rsidP="001E2792">
      <w:pPr>
        <w:ind w:left="284"/>
        <w:jc w:val="both"/>
        <w:rPr>
          <w:rFonts w:cs="Arial"/>
          <w:color w:val="005EB8"/>
          <w:sz w:val="28"/>
          <w:szCs w:val="28"/>
        </w:rPr>
      </w:pPr>
      <w:r w:rsidRPr="00F536C8">
        <w:rPr>
          <w:rFonts w:cs="Arial"/>
          <w:color w:val="005EB8"/>
          <w:sz w:val="28"/>
          <w:szCs w:val="28"/>
        </w:rPr>
        <w:t>Thematic Analysis and ongoing Patient Safety Risks</w:t>
      </w:r>
    </w:p>
    <w:p w14:paraId="44861831" w14:textId="77777777" w:rsidR="001E2792" w:rsidRPr="0074218F" w:rsidRDefault="001E2792" w:rsidP="001E2792">
      <w:pPr>
        <w:pStyle w:val="Default"/>
        <w:ind w:left="284"/>
        <w:rPr>
          <w:sz w:val="16"/>
          <w:szCs w:val="16"/>
        </w:rPr>
      </w:pPr>
    </w:p>
    <w:p w14:paraId="675AD9C1" w14:textId="77777777" w:rsidR="001E2792" w:rsidRDefault="001E2792" w:rsidP="001E2792">
      <w:pPr>
        <w:ind w:left="284"/>
        <w:jc w:val="both"/>
        <w:rPr>
          <w:rFonts w:cs="Arial"/>
        </w:rPr>
      </w:pPr>
      <w:r w:rsidRPr="0029546F">
        <w:rPr>
          <w:rFonts w:cs="Arial"/>
        </w:rPr>
        <w:t xml:space="preserve">A thematic analysis approach </w:t>
      </w:r>
      <w:r>
        <w:rPr>
          <w:rFonts w:cs="Arial"/>
        </w:rPr>
        <w:t xml:space="preserve">has been </w:t>
      </w:r>
      <w:r w:rsidRPr="0029546F">
        <w:rPr>
          <w:rFonts w:cs="Arial"/>
        </w:rPr>
        <w:t xml:space="preserve">utilised to determine which areas of patient safety activity to focus on. The review looked at patient safety activity between April 2012 and March 2023. </w:t>
      </w:r>
    </w:p>
    <w:p w14:paraId="2360A5AB" w14:textId="77777777" w:rsidR="001E2792" w:rsidRPr="00A65126" w:rsidRDefault="001E2792" w:rsidP="001E2792">
      <w:pPr>
        <w:ind w:left="284"/>
        <w:jc w:val="both"/>
        <w:rPr>
          <w:rFonts w:cs="Arial"/>
          <w:sz w:val="14"/>
          <w:szCs w:val="14"/>
        </w:rPr>
      </w:pPr>
    </w:p>
    <w:p w14:paraId="4DC061D1" w14:textId="77777777" w:rsidR="001E2792" w:rsidRDefault="001E2792" w:rsidP="001E2792">
      <w:pPr>
        <w:ind w:left="284"/>
        <w:jc w:val="both"/>
        <w:rPr>
          <w:rFonts w:cs="Arial"/>
          <w:szCs w:val="24"/>
        </w:rPr>
      </w:pPr>
      <w:r>
        <w:rPr>
          <w:rFonts w:cs="Arial"/>
          <w:szCs w:val="24"/>
        </w:rPr>
        <w:t>The a</w:t>
      </w:r>
      <w:r w:rsidRPr="00B742A2">
        <w:rPr>
          <w:rFonts w:cs="Arial"/>
          <w:szCs w:val="24"/>
        </w:rPr>
        <w:t xml:space="preserve">nalysis </w:t>
      </w:r>
      <w:r>
        <w:rPr>
          <w:rFonts w:cs="Arial"/>
          <w:szCs w:val="24"/>
        </w:rPr>
        <w:t>included t</w:t>
      </w:r>
      <w:r w:rsidRPr="00A65126">
        <w:rPr>
          <w:rFonts w:cs="Arial"/>
          <w:szCs w:val="24"/>
        </w:rPr>
        <w:t>he review of</w:t>
      </w:r>
      <w:r>
        <w:rPr>
          <w:rFonts w:cs="Arial"/>
          <w:szCs w:val="24"/>
        </w:rPr>
        <w:t>:</w:t>
      </w:r>
    </w:p>
    <w:p w14:paraId="687580D1" w14:textId="77777777" w:rsidR="001E2792" w:rsidRPr="00F536C8" w:rsidRDefault="001E2792" w:rsidP="001E2792">
      <w:pPr>
        <w:ind w:left="284"/>
        <w:jc w:val="both"/>
        <w:rPr>
          <w:rFonts w:cs="Arial"/>
          <w:sz w:val="14"/>
          <w:szCs w:val="14"/>
        </w:rPr>
      </w:pPr>
    </w:p>
    <w:p w14:paraId="7EDBAF5C" w14:textId="77777777" w:rsidR="001E2792" w:rsidRDefault="001E2792" w:rsidP="001E2792">
      <w:pPr>
        <w:pStyle w:val="ListParagraph"/>
        <w:numPr>
          <w:ilvl w:val="0"/>
          <w:numId w:val="9"/>
        </w:numPr>
        <w:jc w:val="both"/>
        <w:rPr>
          <w:rFonts w:cs="Arial"/>
          <w:szCs w:val="24"/>
        </w:rPr>
      </w:pPr>
      <w:r w:rsidRPr="00A65126">
        <w:rPr>
          <w:rFonts w:cs="Arial"/>
          <w:szCs w:val="24"/>
        </w:rPr>
        <w:t>Datix Patient Safety Incident data reported including all no, low or moderate harm incidents</w:t>
      </w:r>
      <w:r>
        <w:rPr>
          <w:rFonts w:cs="Arial"/>
          <w:szCs w:val="24"/>
        </w:rPr>
        <w:t>.</w:t>
      </w:r>
    </w:p>
    <w:p w14:paraId="4CE349AB" w14:textId="77777777" w:rsidR="001E2792" w:rsidRPr="00F536C8" w:rsidRDefault="001E2792" w:rsidP="001E2792">
      <w:pPr>
        <w:pStyle w:val="ListParagraph"/>
        <w:ind w:left="644"/>
        <w:jc w:val="both"/>
        <w:rPr>
          <w:rFonts w:cs="Arial"/>
          <w:sz w:val="8"/>
          <w:szCs w:val="8"/>
        </w:rPr>
      </w:pPr>
    </w:p>
    <w:p w14:paraId="468DF8AB" w14:textId="77777777" w:rsidR="001E2792" w:rsidRDefault="001E2792" w:rsidP="001E2792">
      <w:pPr>
        <w:pStyle w:val="ListParagraph"/>
        <w:numPr>
          <w:ilvl w:val="0"/>
          <w:numId w:val="9"/>
        </w:numPr>
        <w:jc w:val="both"/>
        <w:rPr>
          <w:rFonts w:cs="Arial"/>
          <w:szCs w:val="24"/>
        </w:rPr>
      </w:pPr>
      <w:r w:rsidRPr="00F536C8">
        <w:rPr>
          <w:rFonts w:cs="Arial"/>
          <w:szCs w:val="24"/>
        </w:rPr>
        <w:t xml:space="preserve">Trust level risks relating to patient safety incidents. </w:t>
      </w:r>
    </w:p>
    <w:p w14:paraId="4F897FE7" w14:textId="77777777" w:rsidR="001E2792" w:rsidRPr="00F536C8" w:rsidRDefault="001E2792" w:rsidP="001E2792">
      <w:pPr>
        <w:pStyle w:val="ListParagraph"/>
        <w:rPr>
          <w:rFonts w:cs="Arial"/>
          <w:sz w:val="8"/>
          <w:szCs w:val="8"/>
        </w:rPr>
      </w:pPr>
    </w:p>
    <w:p w14:paraId="68FC9B34" w14:textId="77777777" w:rsidR="001E2792" w:rsidRDefault="001E2792" w:rsidP="001E2792">
      <w:pPr>
        <w:pStyle w:val="ListParagraph"/>
        <w:numPr>
          <w:ilvl w:val="0"/>
          <w:numId w:val="9"/>
        </w:numPr>
        <w:jc w:val="both"/>
        <w:rPr>
          <w:rFonts w:cs="Arial"/>
          <w:szCs w:val="24"/>
        </w:rPr>
      </w:pPr>
      <w:r w:rsidRPr="00F536C8">
        <w:rPr>
          <w:rFonts w:cs="Arial"/>
          <w:szCs w:val="24"/>
        </w:rPr>
        <w:t xml:space="preserve">Key themes identified from specialist safety &amp; quality committees (e.g. deteriorating patient, falls, pressure ulcers) </w:t>
      </w:r>
    </w:p>
    <w:p w14:paraId="3DDB155F" w14:textId="77777777" w:rsidR="001E2792" w:rsidRPr="00F536C8" w:rsidRDefault="001E2792" w:rsidP="001E2792">
      <w:pPr>
        <w:pStyle w:val="ListParagraph"/>
        <w:rPr>
          <w:sz w:val="8"/>
          <w:szCs w:val="8"/>
        </w:rPr>
      </w:pPr>
    </w:p>
    <w:p w14:paraId="18CFC48A" w14:textId="77777777" w:rsidR="001E2792" w:rsidRPr="00F536C8" w:rsidRDefault="001E2792" w:rsidP="001E2792">
      <w:pPr>
        <w:pStyle w:val="ListParagraph"/>
        <w:numPr>
          <w:ilvl w:val="0"/>
          <w:numId w:val="9"/>
        </w:numPr>
        <w:jc w:val="both"/>
        <w:rPr>
          <w:rFonts w:cs="Arial"/>
          <w:szCs w:val="24"/>
        </w:rPr>
      </w:pPr>
      <w:r>
        <w:t>Safeguarding notifications.</w:t>
      </w:r>
    </w:p>
    <w:p w14:paraId="75B3B29A" w14:textId="77777777" w:rsidR="001E2792" w:rsidRPr="00F536C8" w:rsidRDefault="001E2792" w:rsidP="001E2792">
      <w:pPr>
        <w:pStyle w:val="ListParagraph"/>
        <w:rPr>
          <w:sz w:val="8"/>
          <w:szCs w:val="8"/>
        </w:rPr>
      </w:pPr>
    </w:p>
    <w:p w14:paraId="09D7C14C" w14:textId="77777777" w:rsidR="001E2792" w:rsidRPr="00F536C8" w:rsidRDefault="001E2792" w:rsidP="001E2792">
      <w:pPr>
        <w:pStyle w:val="ListParagraph"/>
        <w:numPr>
          <w:ilvl w:val="0"/>
          <w:numId w:val="9"/>
        </w:numPr>
        <w:jc w:val="both"/>
        <w:rPr>
          <w:rFonts w:cs="Arial"/>
          <w:szCs w:val="24"/>
        </w:rPr>
      </w:pPr>
      <w:r>
        <w:t>T</w:t>
      </w:r>
      <w:r w:rsidRPr="00A65126">
        <w:rPr>
          <w:rFonts w:cs="Arial"/>
          <w:szCs w:val="24"/>
        </w:rPr>
        <w:t xml:space="preserve">hemes from </w:t>
      </w:r>
      <w:r>
        <w:t>Concerns, C</w:t>
      </w:r>
      <w:r w:rsidRPr="00F536C8">
        <w:rPr>
          <w:rFonts w:cs="Arial"/>
          <w:szCs w:val="24"/>
        </w:rPr>
        <w:t>omplaints</w:t>
      </w:r>
      <w:r w:rsidRPr="00F536C8">
        <w:t xml:space="preserve"> and Claims</w:t>
      </w:r>
      <w:r>
        <w:t>.</w:t>
      </w:r>
    </w:p>
    <w:p w14:paraId="351F441F" w14:textId="77777777" w:rsidR="001E2792" w:rsidRPr="00F536C8" w:rsidRDefault="001E2792" w:rsidP="001E2792">
      <w:pPr>
        <w:pStyle w:val="ListParagraph"/>
        <w:rPr>
          <w:sz w:val="6"/>
          <w:szCs w:val="6"/>
        </w:rPr>
      </w:pPr>
    </w:p>
    <w:p w14:paraId="0B8525FE" w14:textId="77777777" w:rsidR="001E2792" w:rsidRPr="00F536C8" w:rsidRDefault="001E2792" w:rsidP="001E2792">
      <w:pPr>
        <w:pStyle w:val="ListParagraph"/>
        <w:numPr>
          <w:ilvl w:val="0"/>
          <w:numId w:val="9"/>
        </w:numPr>
        <w:jc w:val="both"/>
        <w:rPr>
          <w:rFonts w:cs="Arial"/>
          <w:szCs w:val="24"/>
        </w:rPr>
      </w:pPr>
      <w:r>
        <w:t>T</w:t>
      </w:r>
      <w:r w:rsidRPr="00EE51C2">
        <w:t>hemes from the Learning from Deaths Reviews</w:t>
      </w:r>
      <w:r w:rsidRPr="00F536C8">
        <w:t xml:space="preserve"> and </w:t>
      </w:r>
      <w:r w:rsidRPr="00A65126">
        <w:rPr>
          <w:rFonts w:cs="Arial"/>
        </w:rPr>
        <w:t>Coroners Inquests</w:t>
      </w:r>
      <w:r>
        <w:t>.</w:t>
      </w:r>
    </w:p>
    <w:p w14:paraId="0E0F34C1" w14:textId="77777777" w:rsidR="001E2792" w:rsidRPr="00F536C8" w:rsidRDefault="001E2792" w:rsidP="001E2792">
      <w:pPr>
        <w:pStyle w:val="ListParagraph"/>
        <w:rPr>
          <w:color w:val="FF0000"/>
          <w:sz w:val="8"/>
          <w:szCs w:val="8"/>
        </w:rPr>
      </w:pPr>
    </w:p>
    <w:p w14:paraId="78677B6B" w14:textId="77777777" w:rsidR="001E2792" w:rsidRPr="007E1854" w:rsidRDefault="001E2792" w:rsidP="001E2792">
      <w:pPr>
        <w:pStyle w:val="ListParagraph"/>
        <w:numPr>
          <w:ilvl w:val="0"/>
          <w:numId w:val="9"/>
        </w:numPr>
        <w:jc w:val="both"/>
        <w:rPr>
          <w:rFonts w:cs="Arial"/>
          <w:szCs w:val="24"/>
        </w:rPr>
      </w:pPr>
      <w:r w:rsidRPr="007E1854">
        <w:t xml:space="preserve">Medicines Management Committee review of frequently occurring medication incidents. </w:t>
      </w:r>
    </w:p>
    <w:p w14:paraId="34F6B7A0" w14:textId="77777777" w:rsidR="001E2792" w:rsidRPr="007E1854" w:rsidRDefault="001E2792" w:rsidP="001E2792">
      <w:pPr>
        <w:pStyle w:val="ListParagraph"/>
        <w:rPr>
          <w:sz w:val="8"/>
          <w:szCs w:val="8"/>
        </w:rPr>
      </w:pPr>
    </w:p>
    <w:p w14:paraId="77EF436C" w14:textId="77777777" w:rsidR="001E2792" w:rsidRPr="007E1854" w:rsidRDefault="001E2792" w:rsidP="001E2792">
      <w:pPr>
        <w:pStyle w:val="ListParagraph"/>
        <w:numPr>
          <w:ilvl w:val="0"/>
          <w:numId w:val="9"/>
        </w:numPr>
        <w:jc w:val="both"/>
        <w:rPr>
          <w:rFonts w:cs="Arial"/>
          <w:szCs w:val="24"/>
        </w:rPr>
      </w:pPr>
      <w:r w:rsidRPr="007E1854">
        <w:t>Freedom to Speak Up reports</w:t>
      </w:r>
    </w:p>
    <w:p w14:paraId="30FA7F52" w14:textId="77777777" w:rsidR="001E2792" w:rsidRPr="007E1854" w:rsidRDefault="001E2792" w:rsidP="001E2792">
      <w:pPr>
        <w:pStyle w:val="ListParagraph"/>
        <w:rPr>
          <w:sz w:val="8"/>
          <w:szCs w:val="8"/>
        </w:rPr>
      </w:pPr>
    </w:p>
    <w:p w14:paraId="14F334A6" w14:textId="77777777" w:rsidR="001E2792" w:rsidRPr="007E1854" w:rsidRDefault="001E2792" w:rsidP="001E2792">
      <w:pPr>
        <w:pStyle w:val="ListParagraph"/>
        <w:numPr>
          <w:ilvl w:val="0"/>
          <w:numId w:val="9"/>
        </w:numPr>
        <w:jc w:val="both"/>
        <w:rPr>
          <w:rFonts w:cs="Arial"/>
          <w:szCs w:val="24"/>
        </w:rPr>
      </w:pPr>
      <w:r w:rsidRPr="007E1854">
        <w:t xml:space="preserve">Patient and Staff surveys </w:t>
      </w:r>
    </w:p>
    <w:p w14:paraId="51377F33" w14:textId="77777777" w:rsidR="001E2792" w:rsidRPr="00EE51C2" w:rsidRDefault="001E2792" w:rsidP="001E2792">
      <w:pPr>
        <w:ind w:left="284"/>
        <w:jc w:val="both"/>
        <w:rPr>
          <w:rFonts w:cs="Arial"/>
          <w:sz w:val="14"/>
          <w:szCs w:val="14"/>
        </w:rPr>
      </w:pPr>
    </w:p>
    <w:p w14:paraId="59179886" w14:textId="77777777" w:rsidR="001E2792" w:rsidRPr="008266C7" w:rsidRDefault="001E2792" w:rsidP="001E2792">
      <w:pPr>
        <w:ind w:left="284"/>
        <w:jc w:val="both"/>
        <w:rPr>
          <w:sz w:val="14"/>
          <w:szCs w:val="14"/>
        </w:rPr>
      </w:pPr>
      <w:r w:rsidRPr="0029546F">
        <w:rPr>
          <w:rFonts w:cs="Arial"/>
          <w:szCs w:val="24"/>
        </w:rPr>
        <w:t xml:space="preserve">Sources of insight from the analysis </w:t>
      </w:r>
      <w:r>
        <w:rPr>
          <w:rFonts w:cs="Arial"/>
          <w:szCs w:val="24"/>
        </w:rPr>
        <w:t>have been included within the table below</w:t>
      </w:r>
      <w:r w:rsidRPr="00493D7C">
        <w:rPr>
          <w:szCs w:val="24"/>
        </w:rPr>
        <w:t xml:space="preserve">. </w:t>
      </w:r>
      <w:r>
        <w:rPr>
          <w:szCs w:val="24"/>
        </w:rPr>
        <w:br/>
      </w:r>
    </w:p>
    <w:tbl>
      <w:tblPr>
        <w:tblStyle w:val="TableGrid"/>
        <w:tblW w:w="0" w:type="auto"/>
        <w:tblInd w:w="2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18"/>
        <w:gridCol w:w="4814"/>
      </w:tblGrid>
      <w:tr w:rsidR="001E2792" w14:paraId="6D01DA95" w14:textId="77777777" w:rsidTr="002B7D5F">
        <w:trPr>
          <w:trHeight w:val="397"/>
        </w:trPr>
        <w:tc>
          <w:tcPr>
            <w:tcW w:w="3918" w:type="dxa"/>
            <w:shd w:val="clear" w:color="auto" w:fill="0058B0"/>
            <w:vAlign w:val="center"/>
          </w:tcPr>
          <w:p w14:paraId="79433414" w14:textId="77777777" w:rsidR="001E2792" w:rsidRPr="00F13C8D" w:rsidRDefault="001E2792" w:rsidP="002B7D5F">
            <w:pPr>
              <w:jc w:val="center"/>
              <w:rPr>
                <w:rFonts w:asciiTheme="minorHAnsi" w:hAnsiTheme="minorHAnsi" w:cstheme="minorHAnsi"/>
                <w:b/>
                <w:bCs/>
                <w:color w:val="FFFFFF" w:themeColor="background1"/>
                <w:szCs w:val="24"/>
              </w:rPr>
            </w:pPr>
            <w:r w:rsidRPr="00F13C8D">
              <w:rPr>
                <w:rFonts w:asciiTheme="minorHAnsi" w:hAnsiTheme="minorHAnsi" w:cstheme="minorHAnsi"/>
                <w:b/>
                <w:color w:val="FFFFFF" w:themeColor="background1"/>
                <w:szCs w:val="24"/>
              </w:rPr>
              <w:t>Category</w:t>
            </w:r>
          </w:p>
        </w:tc>
        <w:tc>
          <w:tcPr>
            <w:tcW w:w="4814" w:type="dxa"/>
            <w:shd w:val="clear" w:color="auto" w:fill="0058B0"/>
            <w:vAlign w:val="center"/>
          </w:tcPr>
          <w:p w14:paraId="2231D695" w14:textId="77777777" w:rsidR="001E2792" w:rsidRPr="00F13C8D" w:rsidRDefault="001E2792" w:rsidP="002B7D5F">
            <w:pPr>
              <w:jc w:val="center"/>
              <w:rPr>
                <w:rFonts w:asciiTheme="minorHAnsi" w:hAnsiTheme="minorHAnsi" w:cstheme="minorHAnsi"/>
                <w:b/>
                <w:bCs/>
                <w:color w:val="FFFFFF" w:themeColor="background1"/>
                <w:szCs w:val="24"/>
              </w:rPr>
            </w:pPr>
            <w:r w:rsidRPr="00F13C8D">
              <w:rPr>
                <w:rFonts w:asciiTheme="minorHAnsi" w:hAnsiTheme="minorHAnsi" w:cstheme="minorHAnsi"/>
                <w:b/>
                <w:color w:val="FFFFFF" w:themeColor="background1"/>
                <w:szCs w:val="24"/>
              </w:rPr>
              <w:t>Descriptor</w:t>
            </w:r>
          </w:p>
        </w:tc>
      </w:tr>
      <w:tr w:rsidR="001E2792" w:rsidRPr="00EE51C2" w14:paraId="17D5A839" w14:textId="77777777" w:rsidTr="002B7D5F">
        <w:tc>
          <w:tcPr>
            <w:tcW w:w="3918" w:type="dxa"/>
          </w:tcPr>
          <w:p w14:paraId="7B2B78C4"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Abscond/Missing Patient</w:t>
            </w:r>
          </w:p>
        </w:tc>
        <w:tc>
          <w:tcPr>
            <w:tcW w:w="4814" w:type="dxa"/>
          </w:tcPr>
          <w:p w14:paraId="4DC4F41C"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where a patient was expected to remain within an episode of care but chose to leave care or not return to care premises</w:t>
            </w:r>
          </w:p>
        </w:tc>
      </w:tr>
      <w:tr w:rsidR="001E2792" w:rsidRPr="00EE51C2" w14:paraId="1E546EA6" w14:textId="77777777" w:rsidTr="002B7D5F">
        <w:tc>
          <w:tcPr>
            <w:tcW w:w="3918" w:type="dxa"/>
          </w:tcPr>
          <w:p w14:paraId="7AA34235"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Access/Admission/Transfer/Discharge</w:t>
            </w:r>
          </w:p>
        </w:tc>
        <w:tc>
          <w:tcPr>
            <w:tcW w:w="4814" w:type="dxa"/>
          </w:tcPr>
          <w:p w14:paraId="642FF199"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relating to the stated stages in the patient journey</w:t>
            </w:r>
          </w:p>
        </w:tc>
      </w:tr>
      <w:tr w:rsidR="001E2792" w:rsidRPr="00EE51C2" w14:paraId="7720E8AD" w14:textId="77777777" w:rsidTr="002B7D5F">
        <w:tc>
          <w:tcPr>
            <w:tcW w:w="3918" w:type="dxa"/>
          </w:tcPr>
          <w:p w14:paraId="282597A5"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Communication</w:t>
            </w:r>
            <w:r>
              <w:rPr>
                <w:rFonts w:asciiTheme="minorHAnsi" w:hAnsiTheme="minorHAnsi" w:cstheme="minorHAnsi"/>
                <w:szCs w:val="24"/>
              </w:rPr>
              <w:t xml:space="preserve"> (including C</w:t>
            </w:r>
            <w:r w:rsidRPr="001356E8">
              <w:rPr>
                <w:rFonts w:asciiTheme="minorHAnsi" w:hAnsiTheme="minorHAnsi" w:cstheme="minorHAnsi"/>
                <w:szCs w:val="24"/>
              </w:rPr>
              <w:t>onsent</w:t>
            </w:r>
            <w:r>
              <w:rPr>
                <w:rFonts w:asciiTheme="minorHAnsi" w:hAnsiTheme="minorHAnsi" w:cstheme="minorHAnsi"/>
                <w:szCs w:val="24"/>
              </w:rPr>
              <w:t>)</w:t>
            </w:r>
          </w:p>
        </w:tc>
        <w:tc>
          <w:tcPr>
            <w:tcW w:w="4814" w:type="dxa"/>
          </w:tcPr>
          <w:p w14:paraId="45375767"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where there have been consent issues either in a legal or statutory framework, it also captures problems with documentation within the MCA/MHA/DOLs processes</w:t>
            </w:r>
          </w:p>
        </w:tc>
      </w:tr>
      <w:tr w:rsidR="001E2792" w:rsidRPr="00EE51C2" w14:paraId="59249CB9" w14:textId="77777777" w:rsidTr="002B7D5F">
        <w:tc>
          <w:tcPr>
            <w:tcW w:w="3918" w:type="dxa"/>
          </w:tcPr>
          <w:p w14:paraId="448B2205"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Death</w:t>
            </w:r>
          </w:p>
        </w:tc>
        <w:tc>
          <w:tcPr>
            <w:tcW w:w="4814" w:type="dxa"/>
          </w:tcPr>
          <w:p w14:paraId="28A4E652"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All reported deaths </w:t>
            </w:r>
          </w:p>
        </w:tc>
      </w:tr>
      <w:tr w:rsidR="001E2792" w:rsidRPr="00EE51C2" w14:paraId="1A321353" w14:textId="77777777" w:rsidTr="002B7D5F">
        <w:tc>
          <w:tcPr>
            <w:tcW w:w="3918" w:type="dxa"/>
          </w:tcPr>
          <w:p w14:paraId="6C9D433D"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Deterioration </w:t>
            </w:r>
          </w:p>
        </w:tc>
        <w:tc>
          <w:tcPr>
            <w:tcW w:w="4814" w:type="dxa"/>
          </w:tcPr>
          <w:p w14:paraId="682979C9"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All incidents in which it was reported that a patient’s physical health deteriorated </w:t>
            </w:r>
          </w:p>
        </w:tc>
      </w:tr>
      <w:tr w:rsidR="001E2792" w:rsidRPr="00EE51C2" w14:paraId="285B6648" w14:textId="77777777" w:rsidTr="002B7D5F">
        <w:tc>
          <w:tcPr>
            <w:tcW w:w="3918" w:type="dxa"/>
          </w:tcPr>
          <w:p w14:paraId="0E1C21EF" w14:textId="77777777" w:rsidR="001E2792" w:rsidRPr="008266C7" w:rsidRDefault="001E2792" w:rsidP="002B7D5F">
            <w:pPr>
              <w:jc w:val="both"/>
              <w:rPr>
                <w:rFonts w:asciiTheme="minorHAnsi" w:hAnsiTheme="minorHAnsi" w:cstheme="minorHAnsi"/>
                <w:szCs w:val="24"/>
              </w:rPr>
            </w:pPr>
            <w:r w:rsidRPr="008266C7">
              <w:rPr>
                <w:rFonts w:asciiTheme="minorHAnsi" w:hAnsiTheme="minorHAnsi" w:cstheme="minorHAnsi"/>
                <w:szCs w:val="24"/>
              </w:rPr>
              <w:t>Documentation/IG Breach</w:t>
            </w:r>
          </w:p>
        </w:tc>
        <w:tc>
          <w:tcPr>
            <w:tcW w:w="4814" w:type="dxa"/>
          </w:tcPr>
          <w:p w14:paraId="684E8BF0" w14:textId="77777777" w:rsidR="001E2792" w:rsidRPr="008266C7" w:rsidRDefault="001E2792" w:rsidP="002B7D5F">
            <w:pPr>
              <w:jc w:val="both"/>
              <w:rPr>
                <w:rFonts w:asciiTheme="minorHAnsi" w:hAnsiTheme="minorHAnsi" w:cstheme="minorHAnsi"/>
                <w:szCs w:val="24"/>
              </w:rPr>
            </w:pPr>
            <w:r w:rsidRPr="008266C7">
              <w:rPr>
                <w:rFonts w:asciiTheme="minorHAnsi" w:hAnsiTheme="minorHAnsi" w:cstheme="minorHAnsi"/>
                <w:szCs w:val="24"/>
              </w:rPr>
              <w:t>All incidents of breach of IG or relating to issues with recording and storage or management of patient and staff information</w:t>
            </w:r>
          </w:p>
        </w:tc>
      </w:tr>
      <w:tr w:rsidR="001E2792" w:rsidRPr="00EE51C2" w14:paraId="13C94FF6" w14:textId="77777777" w:rsidTr="002B7D5F">
        <w:tc>
          <w:tcPr>
            <w:tcW w:w="3918" w:type="dxa"/>
          </w:tcPr>
          <w:p w14:paraId="556FA7CE"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Equipment </w:t>
            </w:r>
            <w:r>
              <w:rPr>
                <w:rFonts w:asciiTheme="minorHAnsi" w:hAnsiTheme="minorHAnsi" w:cstheme="minorHAnsi"/>
                <w:szCs w:val="24"/>
              </w:rPr>
              <w:t>Supply/F</w:t>
            </w:r>
            <w:r w:rsidRPr="001356E8">
              <w:rPr>
                <w:rFonts w:asciiTheme="minorHAnsi" w:hAnsiTheme="minorHAnsi" w:cstheme="minorHAnsi"/>
                <w:szCs w:val="24"/>
              </w:rPr>
              <w:t>ailure</w:t>
            </w:r>
          </w:p>
        </w:tc>
        <w:tc>
          <w:tcPr>
            <w:tcW w:w="4814" w:type="dxa"/>
          </w:tcPr>
          <w:p w14:paraId="378566E6"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with equipment including failure or difficulties with supply or use</w:t>
            </w:r>
          </w:p>
        </w:tc>
      </w:tr>
      <w:tr w:rsidR="001E2792" w:rsidRPr="00EE51C2" w14:paraId="407976CE" w14:textId="77777777" w:rsidTr="002B7D5F">
        <w:tc>
          <w:tcPr>
            <w:tcW w:w="3918" w:type="dxa"/>
          </w:tcPr>
          <w:p w14:paraId="2D0D5201"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lastRenderedPageBreak/>
              <w:t>Environment, Estates, Facilities</w:t>
            </w:r>
          </w:p>
        </w:tc>
        <w:tc>
          <w:tcPr>
            <w:tcW w:w="4814" w:type="dxa"/>
          </w:tcPr>
          <w:p w14:paraId="730FCEB2"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involving environmental matters, estates or facilities provision</w:t>
            </w:r>
          </w:p>
        </w:tc>
      </w:tr>
      <w:tr w:rsidR="001E2792" w:rsidRPr="00EE51C2" w14:paraId="15529D13" w14:textId="77777777" w:rsidTr="002B7D5F">
        <w:tc>
          <w:tcPr>
            <w:tcW w:w="3918" w:type="dxa"/>
          </w:tcPr>
          <w:p w14:paraId="0ECF854C"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Infection </w:t>
            </w:r>
            <w:r>
              <w:rPr>
                <w:rFonts w:asciiTheme="minorHAnsi" w:hAnsiTheme="minorHAnsi" w:cstheme="minorHAnsi"/>
                <w:szCs w:val="24"/>
              </w:rPr>
              <w:t>C</w:t>
            </w:r>
            <w:r w:rsidRPr="001356E8">
              <w:rPr>
                <w:rFonts w:asciiTheme="minorHAnsi" w:hAnsiTheme="minorHAnsi" w:cstheme="minorHAnsi"/>
                <w:szCs w:val="24"/>
              </w:rPr>
              <w:t>ontrol</w:t>
            </w:r>
          </w:p>
        </w:tc>
        <w:tc>
          <w:tcPr>
            <w:tcW w:w="4814" w:type="dxa"/>
          </w:tcPr>
          <w:p w14:paraId="4A395A86"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relating to infection prevention and control events or processes</w:t>
            </w:r>
          </w:p>
        </w:tc>
      </w:tr>
      <w:tr w:rsidR="001E2792" w:rsidRPr="00EE51C2" w14:paraId="401ADCDF" w14:textId="77777777" w:rsidTr="002B7D5F">
        <w:tc>
          <w:tcPr>
            <w:tcW w:w="3918" w:type="dxa"/>
          </w:tcPr>
          <w:p w14:paraId="1D60A5F1"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IT systems</w:t>
            </w:r>
          </w:p>
        </w:tc>
        <w:tc>
          <w:tcPr>
            <w:tcW w:w="4814" w:type="dxa"/>
          </w:tcPr>
          <w:p w14:paraId="1FCABF55" w14:textId="77777777" w:rsidR="001E2792" w:rsidRPr="001356E8" w:rsidRDefault="001E2792" w:rsidP="002B7D5F">
            <w:pPr>
              <w:contextualSpacing/>
              <w:rPr>
                <w:rFonts w:asciiTheme="minorHAnsi" w:hAnsiTheme="minorHAnsi" w:cstheme="minorHAnsi"/>
                <w:szCs w:val="24"/>
              </w:rPr>
            </w:pPr>
            <w:r w:rsidRPr="001356E8">
              <w:rPr>
                <w:rFonts w:asciiTheme="minorHAnsi" w:hAnsiTheme="minorHAnsi" w:cstheme="minorHAnsi"/>
                <w:szCs w:val="24"/>
              </w:rPr>
              <w:t>All incidents relating to IT systems and infrastructure (not generally IG or digital communication problems)</w:t>
            </w:r>
          </w:p>
        </w:tc>
      </w:tr>
      <w:tr w:rsidR="001E2792" w:rsidRPr="00EE51C2" w14:paraId="26AF3E21" w14:textId="77777777" w:rsidTr="002B7D5F">
        <w:tc>
          <w:tcPr>
            <w:tcW w:w="3918" w:type="dxa"/>
          </w:tcPr>
          <w:p w14:paraId="61982B4E"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Medication</w:t>
            </w:r>
          </w:p>
        </w:tc>
        <w:tc>
          <w:tcPr>
            <w:tcW w:w="4814" w:type="dxa"/>
          </w:tcPr>
          <w:p w14:paraId="25C23670" w14:textId="77777777" w:rsidR="001E2792" w:rsidRPr="001356E8" w:rsidRDefault="001E2792" w:rsidP="002B7D5F">
            <w:pPr>
              <w:contextualSpacing/>
              <w:rPr>
                <w:rFonts w:asciiTheme="minorHAnsi" w:hAnsiTheme="minorHAnsi" w:cstheme="minorHAnsi"/>
                <w:szCs w:val="24"/>
              </w:rPr>
            </w:pPr>
            <w:r w:rsidRPr="001356E8">
              <w:rPr>
                <w:rFonts w:asciiTheme="minorHAnsi" w:hAnsiTheme="minorHAnsi" w:cstheme="minorHAnsi"/>
                <w:szCs w:val="24"/>
              </w:rPr>
              <w:t>All incidents across the elements of the medication process</w:t>
            </w:r>
          </w:p>
        </w:tc>
      </w:tr>
      <w:tr w:rsidR="001E2792" w:rsidRPr="00EE51C2" w14:paraId="1BBDEFC0" w14:textId="77777777" w:rsidTr="002B7D5F">
        <w:tc>
          <w:tcPr>
            <w:tcW w:w="3918" w:type="dxa"/>
          </w:tcPr>
          <w:p w14:paraId="2BEF50DB"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Pressure Ulcers and Wound Care</w:t>
            </w:r>
          </w:p>
        </w:tc>
        <w:tc>
          <w:tcPr>
            <w:tcW w:w="4814" w:type="dxa"/>
          </w:tcPr>
          <w:p w14:paraId="16FDA55F" w14:textId="77777777" w:rsidR="001E2792" w:rsidRPr="001356E8" w:rsidRDefault="001E2792" w:rsidP="002B7D5F">
            <w:pPr>
              <w:contextualSpacing/>
              <w:rPr>
                <w:rFonts w:asciiTheme="minorHAnsi" w:hAnsiTheme="minorHAnsi" w:cstheme="minorHAnsi"/>
                <w:szCs w:val="24"/>
              </w:rPr>
            </w:pPr>
            <w:r w:rsidRPr="001356E8">
              <w:rPr>
                <w:rFonts w:asciiTheme="minorHAnsi" w:hAnsiTheme="minorHAnsi" w:cstheme="minorHAnsi"/>
                <w:szCs w:val="24"/>
              </w:rPr>
              <w:t>All incidents relating to pressure and related skin damage and other wounds</w:t>
            </w:r>
          </w:p>
        </w:tc>
      </w:tr>
      <w:tr w:rsidR="001E2792" w:rsidRPr="00EE51C2" w14:paraId="0EE9007D" w14:textId="77777777" w:rsidTr="002B7D5F">
        <w:tc>
          <w:tcPr>
            <w:tcW w:w="3918" w:type="dxa"/>
          </w:tcPr>
          <w:p w14:paraId="60A3621A"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Planned interventions</w:t>
            </w:r>
          </w:p>
        </w:tc>
        <w:tc>
          <w:tcPr>
            <w:tcW w:w="4814" w:type="dxa"/>
          </w:tcPr>
          <w:p w14:paraId="76F778FA" w14:textId="77777777" w:rsidR="001E2792" w:rsidRPr="001356E8" w:rsidRDefault="001E2792" w:rsidP="002B7D5F">
            <w:pPr>
              <w:contextualSpacing/>
              <w:rPr>
                <w:rFonts w:asciiTheme="minorHAnsi" w:hAnsiTheme="minorHAnsi" w:cstheme="minorHAnsi"/>
                <w:szCs w:val="24"/>
              </w:rPr>
            </w:pPr>
            <w:r w:rsidRPr="001356E8">
              <w:rPr>
                <w:rFonts w:asciiTheme="minorHAnsi" w:hAnsiTheme="minorHAnsi" w:cstheme="minorHAnsi"/>
                <w:szCs w:val="24"/>
              </w:rPr>
              <w:t>Reported within MH and LD services where an intervention has been necessary resulting from measures being indicated as part of a patient’s care plan</w:t>
            </w:r>
          </w:p>
        </w:tc>
      </w:tr>
      <w:tr w:rsidR="001E2792" w:rsidRPr="00EE51C2" w14:paraId="4CDAD945" w14:textId="77777777" w:rsidTr="002B7D5F">
        <w:tc>
          <w:tcPr>
            <w:tcW w:w="3918" w:type="dxa"/>
          </w:tcPr>
          <w:p w14:paraId="1BC48405"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Security</w:t>
            </w:r>
          </w:p>
        </w:tc>
        <w:tc>
          <w:tcPr>
            <w:tcW w:w="4814" w:type="dxa"/>
          </w:tcPr>
          <w:p w14:paraId="5D0967AA"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recording any breach or lapse in security arrangements and processes and some specifically for Secure services</w:t>
            </w:r>
          </w:p>
        </w:tc>
      </w:tr>
      <w:tr w:rsidR="001E2792" w:rsidRPr="00EE51C2" w14:paraId="159504C7" w14:textId="77777777" w:rsidTr="002B7D5F">
        <w:tc>
          <w:tcPr>
            <w:tcW w:w="3918" w:type="dxa"/>
          </w:tcPr>
          <w:p w14:paraId="02CE1738" w14:textId="77777777" w:rsidR="001E2792" w:rsidRPr="008266C7" w:rsidRDefault="001E2792" w:rsidP="002B7D5F">
            <w:pPr>
              <w:jc w:val="both"/>
              <w:rPr>
                <w:rFonts w:asciiTheme="minorHAnsi" w:hAnsiTheme="minorHAnsi" w:cstheme="minorHAnsi"/>
                <w:szCs w:val="24"/>
              </w:rPr>
            </w:pPr>
            <w:r w:rsidRPr="008266C7">
              <w:rPr>
                <w:rFonts w:asciiTheme="minorHAnsi" w:hAnsiTheme="minorHAnsi" w:cstheme="minorHAnsi"/>
                <w:szCs w:val="24"/>
              </w:rPr>
              <w:t>Serious Allegation</w:t>
            </w:r>
          </w:p>
        </w:tc>
        <w:tc>
          <w:tcPr>
            <w:tcW w:w="4814" w:type="dxa"/>
          </w:tcPr>
          <w:p w14:paraId="375D6914" w14:textId="77777777" w:rsidR="001E2792" w:rsidRPr="008266C7" w:rsidRDefault="001E2792" w:rsidP="002B7D5F">
            <w:pPr>
              <w:jc w:val="both"/>
              <w:rPr>
                <w:rFonts w:asciiTheme="minorHAnsi" w:hAnsiTheme="minorHAnsi" w:cstheme="minorHAnsi"/>
                <w:szCs w:val="24"/>
              </w:rPr>
            </w:pPr>
            <w:r>
              <w:rPr>
                <w:rFonts w:asciiTheme="minorHAnsi" w:hAnsiTheme="minorHAnsi" w:cstheme="minorHAnsi"/>
                <w:szCs w:val="24"/>
              </w:rPr>
              <w:t>I</w:t>
            </w:r>
            <w:r w:rsidRPr="008266C7">
              <w:rPr>
                <w:rFonts w:asciiTheme="minorHAnsi" w:hAnsiTheme="minorHAnsi" w:cstheme="minorHAnsi"/>
                <w:szCs w:val="24"/>
              </w:rPr>
              <w:t>ncidents reported about staff</w:t>
            </w:r>
          </w:p>
        </w:tc>
      </w:tr>
      <w:tr w:rsidR="001E2792" w:rsidRPr="00EE51C2" w14:paraId="40D5289C" w14:textId="77777777" w:rsidTr="002B7D5F">
        <w:tc>
          <w:tcPr>
            <w:tcW w:w="3918" w:type="dxa"/>
          </w:tcPr>
          <w:p w14:paraId="10E50EFA"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Service </w:t>
            </w:r>
            <w:r>
              <w:rPr>
                <w:rFonts w:asciiTheme="minorHAnsi" w:hAnsiTheme="minorHAnsi" w:cstheme="minorHAnsi"/>
                <w:szCs w:val="24"/>
              </w:rPr>
              <w:t>P</w:t>
            </w:r>
            <w:r w:rsidRPr="001356E8">
              <w:rPr>
                <w:rFonts w:asciiTheme="minorHAnsi" w:hAnsiTheme="minorHAnsi" w:cstheme="minorHAnsi"/>
                <w:szCs w:val="24"/>
              </w:rPr>
              <w:t>rovision</w:t>
            </w:r>
            <w:r>
              <w:rPr>
                <w:rFonts w:asciiTheme="minorHAnsi" w:hAnsiTheme="minorHAnsi" w:cstheme="minorHAnsi"/>
                <w:szCs w:val="24"/>
              </w:rPr>
              <w:t>/Discontinuity</w:t>
            </w:r>
          </w:p>
        </w:tc>
        <w:tc>
          <w:tcPr>
            <w:tcW w:w="4814" w:type="dxa"/>
          </w:tcPr>
          <w:p w14:paraId="3E7C47A4"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where a service has been impacted or not provided as expected</w:t>
            </w:r>
          </w:p>
        </w:tc>
      </w:tr>
      <w:tr w:rsidR="001E2792" w:rsidRPr="00EE51C2" w14:paraId="7AB5D2E7" w14:textId="77777777" w:rsidTr="002B7D5F">
        <w:tc>
          <w:tcPr>
            <w:tcW w:w="3918" w:type="dxa"/>
          </w:tcPr>
          <w:p w14:paraId="4C83ADD5"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Slips, Trips, Falls</w:t>
            </w:r>
          </w:p>
        </w:tc>
        <w:tc>
          <w:tcPr>
            <w:tcW w:w="4814" w:type="dxa"/>
          </w:tcPr>
          <w:p w14:paraId="72B090F4"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incidents where a patient fell, tripped or slipped on or off Trust premises</w:t>
            </w:r>
          </w:p>
        </w:tc>
      </w:tr>
      <w:tr w:rsidR="001E2792" w:rsidRPr="00EE51C2" w14:paraId="4E4263DD" w14:textId="77777777" w:rsidTr="002B7D5F">
        <w:tc>
          <w:tcPr>
            <w:tcW w:w="3918" w:type="dxa"/>
          </w:tcPr>
          <w:p w14:paraId="2C68E846"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Vaccines and Immunisations</w:t>
            </w:r>
          </w:p>
        </w:tc>
        <w:tc>
          <w:tcPr>
            <w:tcW w:w="4814" w:type="dxa"/>
          </w:tcPr>
          <w:p w14:paraId="4FA37EC0"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 xml:space="preserve">All incidents related to vaccines/immunisation </w:t>
            </w:r>
          </w:p>
        </w:tc>
      </w:tr>
      <w:tr w:rsidR="001E2792" w:rsidRPr="00EE51C2" w14:paraId="4070FAE3" w14:textId="77777777" w:rsidTr="002B7D5F">
        <w:tc>
          <w:tcPr>
            <w:tcW w:w="3918" w:type="dxa"/>
          </w:tcPr>
          <w:p w14:paraId="63FE0680" w14:textId="77777777" w:rsidR="001E2792" w:rsidRPr="008266C7" w:rsidRDefault="001E2792" w:rsidP="002B7D5F">
            <w:pPr>
              <w:jc w:val="both"/>
              <w:rPr>
                <w:rFonts w:asciiTheme="minorHAnsi" w:hAnsiTheme="minorHAnsi" w:cstheme="minorHAnsi"/>
                <w:szCs w:val="24"/>
              </w:rPr>
            </w:pPr>
            <w:r w:rsidRPr="008266C7">
              <w:rPr>
                <w:rFonts w:asciiTheme="minorHAnsi" w:hAnsiTheme="minorHAnsi" w:cstheme="minorHAnsi"/>
                <w:szCs w:val="24"/>
              </w:rPr>
              <w:t>Violence and aggression</w:t>
            </w:r>
          </w:p>
        </w:tc>
        <w:tc>
          <w:tcPr>
            <w:tcW w:w="4814" w:type="dxa"/>
          </w:tcPr>
          <w:p w14:paraId="234C47F3" w14:textId="77777777" w:rsidR="001E2792" w:rsidRPr="008266C7" w:rsidRDefault="001E2792" w:rsidP="002B7D5F">
            <w:pPr>
              <w:jc w:val="both"/>
              <w:rPr>
                <w:rFonts w:asciiTheme="minorHAnsi" w:hAnsiTheme="minorHAnsi" w:cstheme="minorHAnsi"/>
                <w:szCs w:val="24"/>
              </w:rPr>
            </w:pPr>
            <w:r w:rsidRPr="008266C7">
              <w:rPr>
                <w:rFonts w:asciiTheme="minorHAnsi" w:hAnsiTheme="minorHAnsi" w:cstheme="minorHAnsi"/>
                <w:szCs w:val="24"/>
              </w:rPr>
              <w:t>All incidents where violence and aggression has been witnessed or experienced by patients, staff and others</w:t>
            </w:r>
          </w:p>
        </w:tc>
      </w:tr>
      <w:tr w:rsidR="001E2792" w:rsidRPr="00EE51C2" w14:paraId="4F6F6070" w14:textId="77777777" w:rsidTr="002B7D5F">
        <w:tc>
          <w:tcPr>
            <w:tcW w:w="3918" w:type="dxa"/>
          </w:tcPr>
          <w:p w14:paraId="4955A67D"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Staffing</w:t>
            </w:r>
          </w:p>
        </w:tc>
        <w:tc>
          <w:tcPr>
            <w:tcW w:w="4814" w:type="dxa"/>
          </w:tcPr>
          <w:p w14:paraId="75E0E2F2" w14:textId="77777777" w:rsidR="001E2792" w:rsidRPr="001356E8" w:rsidRDefault="001E2792" w:rsidP="002B7D5F">
            <w:pPr>
              <w:jc w:val="both"/>
              <w:rPr>
                <w:rFonts w:asciiTheme="minorHAnsi" w:hAnsiTheme="minorHAnsi" w:cstheme="minorHAnsi"/>
                <w:szCs w:val="24"/>
              </w:rPr>
            </w:pPr>
            <w:r w:rsidRPr="001356E8">
              <w:rPr>
                <w:rFonts w:asciiTheme="minorHAnsi" w:hAnsiTheme="minorHAnsi" w:cstheme="minorHAnsi"/>
                <w:szCs w:val="24"/>
              </w:rPr>
              <w:t>All Staffing related incidents</w:t>
            </w:r>
          </w:p>
        </w:tc>
      </w:tr>
    </w:tbl>
    <w:p w14:paraId="7ED392B5" w14:textId="77777777" w:rsidR="001E2792" w:rsidRPr="00F536C8" w:rsidRDefault="001E2792" w:rsidP="001E2792">
      <w:pPr>
        <w:ind w:left="284"/>
        <w:jc w:val="both"/>
        <w:rPr>
          <w:rFonts w:asciiTheme="minorHAnsi" w:hAnsiTheme="minorHAnsi" w:cstheme="minorHAnsi"/>
          <w:sz w:val="16"/>
          <w:szCs w:val="16"/>
        </w:rPr>
      </w:pPr>
    </w:p>
    <w:p w14:paraId="15B02AC9" w14:textId="77777777" w:rsidR="001E2792" w:rsidRDefault="001E2792" w:rsidP="001E2792">
      <w:pPr>
        <w:ind w:left="284"/>
        <w:jc w:val="both"/>
        <w:rPr>
          <w:rFonts w:cs="Arial"/>
        </w:rPr>
      </w:pPr>
      <w:r w:rsidRPr="0029546F">
        <w:rPr>
          <w:rFonts w:cs="Arial"/>
        </w:rPr>
        <w:t xml:space="preserve">The priorities identified throughout this analysis validate what has been seen throughout patient safety incident reporting for many years. </w:t>
      </w:r>
    </w:p>
    <w:p w14:paraId="22660C68" w14:textId="77777777" w:rsidR="001E2792" w:rsidRPr="007E1854" w:rsidRDefault="001E2792" w:rsidP="001E2792">
      <w:pPr>
        <w:ind w:left="284"/>
        <w:jc w:val="both"/>
        <w:rPr>
          <w:rFonts w:cs="Arial"/>
          <w:sz w:val="16"/>
          <w:szCs w:val="16"/>
        </w:rPr>
      </w:pPr>
    </w:p>
    <w:p w14:paraId="3FF6ABC7" w14:textId="77777777" w:rsidR="001E2792" w:rsidRPr="00F536C8" w:rsidRDefault="001E2792" w:rsidP="001E2792">
      <w:pPr>
        <w:ind w:left="284"/>
        <w:jc w:val="both"/>
        <w:rPr>
          <w:rFonts w:cs="Arial"/>
        </w:rPr>
      </w:pPr>
      <w:r w:rsidRPr="001356E8">
        <w:rPr>
          <w:rFonts w:cs="Arial"/>
          <w:szCs w:val="24"/>
        </w:rPr>
        <w:t xml:space="preserve">Whilst </w:t>
      </w:r>
      <w:r>
        <w:rPr>
          <w:rFonts w:cs="Arial"/>
          <w:szCs w:val="24"/>
        </w:rPr>
        <w:t>a</w:t>
      </w:r>
      <w:r w:rsidRPr="001356E8">
        <w:rPr>
          <w:rFonts w:cs="Arial"/>
          <w:szCs w:val="24"/>
        </w:rPr>
        <w:t xml:space="preserve"> final list has been agreed </w:t>
      </w:r>
      <w:r>
        <w:rPr>
          <w:rFonts w:cs="Arial"/>
          <w:szCs w:val="24"/>
        </w:rPr>
        <w:t>WWLFT</w:t>
      </w:r>
      <w:r w:rsidRPr="001356E8">
        <w:rPr>
          <w:rFonts w:cs="Arial"/>
          <w:szCs w:val="24"/>
        </w:rPr>
        <w:t xml:space="preserve"> are conscious that this list is not fixed thereafter. Within our resource analysis, we have also established capacity for additional ad-hoc PSII, where a new risk emerges or learning, and improvement can be gained from investigation of a particular incident or theme.</w:t>
      </w:r>
    </w:p>
    <w:p w14:paraId="7528BB65" w14:textId="77777777" w:rsidR="001E2792" w:rsidRPr="008266C7" w:rsidRDefault="001E2792" w:rsidP="001E2792">
      <w:pPr>
        <w:jc w:val="both"/>
        <w:rPr>
          <w:rFonts w:cs="Arial"/>
          <w:sz w:val="16"/>
          <w:szCs w:val="16"/>
        </w:rPr>
      </w:pPr>
    </w:p>
    <w:p w14:paraId="36AA042F" w14:textId="77777777" w:rsidR="001E2792" w:rsidRPr="008266C7" w:rsidRDefault="001E2792" w:rsidP="001E2792">
      <w:pPr>
        <w:ind w:left="284"/>
        <w:jc w:val="both"/>
        <w:rPr>
          <w:rFonts w:cs="Arial"/>
        </w:rPr>
      </w:pPr>
      <w:r w:rsidRPr="0029546F">
        <w:rPr>
          <w:rFonts w:cs="Arial"/>
        </w:rPr>
        <w:t xml:space="preserve">As locally defined priorities, </w:t>
      </w:r>
      <w:r>
        <w:rPr>
          <w:rFonts w:cs="Arial"/>
        </w:rPr>
        <w:t xml:space="preserve">the </w:t>
      </w:r>
      <w:r w:rsidRPr="0029546F">
        <w:rPr>
          <w:rFonts w:cs="Arial"/>
        </w:rPr>
        <w:t>PSIRF allows us to focus on these risks with our framework for patient safety incident response.</w:t>
      </w:r>
    </w:p>
    <w:p w14:paraId="336F4788" w14:textId="77777777" w:rsidR="001E2792" w:rsidRPr="006D408F" w:rsidRDefault="001E2792" w:rsidP="001E2792">
      <w:pPr>
        <w:ind w:left="720" w:hanging="578"/>
        <w:rPr>
          <w:rFonts w:eastAsiaTheme="majorEastAsia" w:cs="Arial"/>
          <w:bCs w:val="0"/>
          <w:color w:val="0070C0"/>
          <w:sz w:val="16"/>
          <w:szCs w:val="16"/>
        </w:rPr>
      </w:pPr>
    </w:p>
    <w:p w14:paraId="4F17F8AF" w14:textId="77777777" w:rsidR="001E2792" w:rsidRPr="00C84D59" w:rsidRDefault="001E2792" w:rsidP="001E2792">
      <w:pPr>
        <w:ind w:left="284"/>
        <w:jc w:val="both"/>
        <w:rPr>
          <w:rFonts w:eastAsiaTheme="majorEastAsia" w:cs="Arial"/>
          <w:bCs w:val="0"/>
          <w:szCs w:val="24"/>
        </w:rPr>
      </w:pPr>
      <w:r w:rsidRPr="00F13C8D">
        <w:rPr>
          <w:rFonts w:eastAsiaTheme="majorEastAsia" w:cs="Arial"/>
          <w:b/>
          <w:color w:val="0058B0"/>
          <w:szCs w:val="24"/>
          <w:u w:val="single"/>
        </w:rPr>
        <w:t>Local patient safety risks related to the ‘National Priorities’</w:t>
      </w:r>
      <w:r w:rsidRPr="00F13C8D">
        <w:rPr>
          <w:rFonts w:eastAsiaTheme="majorEastAsia" w:cs="Arial"/>
          <w:color w:val="0058B0"/>
          <w:szCs w:val="24"/>
        </w:rPr>
        <w:t>:</w:t>
      </w:r>
      <w:r w:rsidRPr="00F13C8D">
        <w:rPr>
          <w:rFonts w:eastAsiaTheme="majorEastAsia" w:cs="Arial"/>
          <w:b/>
          <w:color w:val="0058B0"/>
          <w:szCs w:val="24"/>
        </w:rPr>
        <w:t xml:space="preserve"> </w:t>
      </w:r>
      <w:proofErr w:type="gramStart"/>
      <w:r w:rsidRPr="006D408F">
        <w:rPr>
          <w:rFonts w:eastAsiaTheme="majorEastAsia" w:cs="Arial"/>
          <w:szCs w:val="24"/>
        </w:rPr>
        <w:t xml:space="preserve">these  </w:t>
      </w:r>
      <w:r w:rsidRPr="00C84D59">
        <w:rPr>
          <w:rFonts w:eastAsiaTheme="majorEastAsia" w:cs="Arial"/>
          <w:szCs w:val="24"/>
        </w:rPr>
        <w:t>have</w:t>
      </w:r>
      <w:proofErr w:type="gramEnd"/>
      <w:r w:rsidRPr="00C84D59">
        <w:rPr>
          <w:rFonts w:eastAsiaTheme="majorEastAsia" w:cs="Arial"/>
          <w:szCs w:val="24"/>
        </w:rPr>
        <w:t xml:space="preserve"> been defined as the list of risks covered by </w:t>
      </w:r>
      <w:r>
        <w:rPr>
          <w:rFonts w:eastAsiaTheme="majorEastAsia" w:cs="Arial"/>
          <w:szCs w:val="24"/>
        </w:rPr>
        <w:t>N</w:t>
      </w:r>
      <w:r w:rsidRPr="00C84D59">
        <w:rPr>
          <w:rFonts w:eastAsiaTheme="majorEastAsia" w:cs="Arial"/>
          <w:szCs w:val="24"/>
        </w:rPr>
        <w:t xml:space="preserve">ational </w:t>
      </w:r>
      <w:r>
        <w:rPr>
          <w:rFonts w:eastAsiaTheme="majorEastAsia" w:cs="Arial"/>
          <w:szCs w:val="24"/>
        </w:rPr>
        <w:t>P</w:t>
      </w:r>
      <w:r w:rsidRPr="00C84D59">
        <w:rPr>
          <w:rFonts w:eastAsiaTheme="majorEastAsia" w:cs="Arial"/>
          <w:szCs w:val="24"/>
        </w:rPr>
        <w:t xml:space="preserve">riorities that </w:t>
      </w:r>
      <w:r>
        <w:rPr>
          <w:rFonts w:eastAsiaTheme="majorEastAsia" w:cs="Arial"/>
          <w:szCs w:val="24"/>
        </w:rPr>
        <w:t xml:space="preserve">WWLFT </w:t>
      </w:r>
      <w:r w:rsidRPr="00C84D59">
        <w:rPr>
          <w:rFonts w:eastAsiaTheme="majorEastAsia" w:cs="Arial"/>
          <w:szCs w:val="24"/>
        </w:rPr>
        <w:t>anticipates will require a response in the next 12 months.</w:t>
      </w:r>
      <w:r>
        <w:rPr>
          <w:rFonts w:eastAsiaTheme="majorEastAsia" w:cs="Arial"/>
          <w:szCs w:val="24"/>
        </w:rPr>
        <w:t xml:space="preserve"> </w:t>
      </w:r>
      <w:r w:rsidRPr="00FC75F0">
        <w:rPr>
          <w:rFonts w:eastAsiaTheme="majorEastAsia" w:cs="Arial"/>
          <w:szCs w:val="24"/>
        </w:rPr>
        <w:t>Table 1</w:t>
      </w:r>
      <w:r>
        <w:rPr>
          <w:rFonts w:eastAsiaTheme="majorEastAsia" w:cs="Arial"/>
          <w:szCs w:val="24"/>
        </w:rPr>
        <w:t xml:space="preserve"> below </w:t>
      </w:r>
      <w:r w:rsidRPr="00C84D59">
        <w:rPr>
          <w:rFonts w:eastAsiaTheme="majorEastAsia" w:cs="Arial"/>
          <w:szCs w:val="24"/>
        </w:rPr>
        <w:t xml:space="preserve">sets out the full list of </w:t>
      </w:r>
      <w:r>
        <w:rPr>
          <w:rFonts w:eastAsiaTheme="majorEastAsia" w:cs="Arial"/>
          <w:szCs w:val="24"/>
        </w:rPr>
        <w:t>N</w:t>
      </w:r>
      <w:r w:rsidRPr="00C84D59">
        <w:rPr>
          <w:rFonts w:eastAsiaTheme="majorEastAsia" w:cs="Arial"/>
          <w:szCs w:val="24"/>
        </w:rPr>
        <w:t xml:space="preserve">ational </w:t>
      </w:r>
      <w:r>
        <w:rPr>
          <w:rFonts w:eastAsiaTheme="majorEastAsia" w:cs="Arial"/>
          <w:szCs w:val="24"/>
        </w:rPr>
        <w:t>P</w:t>
      </w:r>
      <w:r w:rsidRPr="00C84D59">
        <w:rPr>
          <w:rFonts w:eastAsiaTheme="majorEastAsia" w:cs="Arial"/>
          <w:szCs w:val="24"/>
        </w:rPr>
        <w:t>riorities that require a response.</w:t>
      </w:r>
    </w:p>
    <w:p w14:paraId="65AC27F7" w14:textId="77777777" w:rsidR="001E2792" w:rsidRPr="00F536C8" w:rsidRDefault="001E2792" w:rsidP="001E2792">
      <w:pPr>
        <w:ind w:left="284"/>
        <w:rPr>
          <w:rFonts w:eastAsiaTheme="majorEastAsia" w:cs="Arial"/>
          <w:bCs w:val="0"/>
          <w:color w:val="0070C0"/>
          <w:sz w:val="20"/>
          <w:szCs w:val="20"/>
        </w:rPr>
      </w:pPr>
    </w:p>
    <w:p w14:paraId="18861922" w14:textId="77777777" w:rsidR="001E2792" w:rsidRPr="00C84D59" w:rsidRDefault="001E2792" w:rsidP="001E2792">
      <w:pPr>
        <w:ind w:left="284"/>
        <w:jc w:val="both"/>
        <w:rPr>
          <w:rFonts w:eastAsiaTheme="majorEastAsia" w:cs="Arial"/>
          <w:bCs w:val="0"/>
          <w:szCs w:val="24"/>
        </w:rPr>
      </w:pPr>
      <w:r w:rsidRPr="00F13C8D">
        <w:rPr>
          <w:rFonts w:eastAsiaTheme="majorEastAsia" w:cs="Arial"/>
          <w:b/>
          <w:color w:val="0058B0"/>
          <w:szCs w:val="24"/>
          <w:u w:val="single"/>
        </w:rPr>
        <w:lastRenderedPageBreak/>
        <w:t>Top ‘Local Patient Safety Risks’</w:t>
      </w:r>
      <w:r w:rsidRPr="00F13C8D">
        <w:rPr>
          <w:rFonts w:eastAsiaTheme="majorEastAsia" w:cs="Arial"/>
          <w:color w:val="0058B0"/>
          <w:szCs w:val="24"/>
        </w:rPr>
        <w:t xml:space="preserve">: </w:t>
      </w:r>
      <w:r>
        <w:rPr>
          <w:rFonts w:eastAsiaTheme="majorEastAsia" w:cs="Arial"/>
          <w:szCs w:val="24"/>
        </w:rPr>
        <w:t xml:space="preserve">these </w:t>
      </w:r>
      <w:r w:rsidRPr="00C84D59">
        <w:rPr>
          <w:rFonts w:eastAsiaTheme="majorEastAsia" w:cs="Arial"/>
          <w:szCs w:val="24"/>
        </w:rPr>
        <w:t xml:space="preserve">have been defined as the list of risks identified through the stakeholder approach and the data </w:t>
      </w:r>
      <w:r>
        <w:rPr>
          <w:rFonts w:eastAsiaTheme="majorEastAsia" w:cs="Arial"/>
          <w:szCs w:val="24"/>
        </w:rPr>
        <w:t>reviews</w:t>
      </w:r>
      <w:r w:rsidRPr="00C84D59">
        <w:rPr>
          <w:rFonts w:eastAsiaTheme="majorEastAsia" w:cs="Arial"/>
          <w:szCs w:val="24"/>
        </w:rPr>
        <w:t xml:space="preserve"> described above. These local identified risks represent opportunities for learning and improvement in the </w:t>
      </w:r>
      <w:r>
        <w:rPr>
          <w:rFonts w:eastAsiaTheme="majorEastAsia" w:cs="Arial"/>
          <w:szCs w:val="24"/>
        </w:rPr>
        <w:t>WWLFT</w:t>
      </w:r>
      <w:r w:rsidRPr="00C84D59">
        <w:rPr>
          <w:rFonts w:eastAsiaTheme="majorEastAsia" w:cs="Arial"/>
          <w:szCs w:val="24"/>
        </w:rPr>
        <w:t xml:space="preserve"> system. The criteria </w:t>
      </w:r>
      <w:r>
        <w:rPr>
          <w:rFonts w:eastAsiaTheme="majorEastAsia" w:cs="Arial"/>
          <w:szCs w:val="24"/>
        </w:rPr>
        <w:t xml:space="preserve">WWLFT </w:t>
      </w:r>
      <w:r w:rsidRPr="00C84D59">
        <w:rPr>
          <w:rFonts w:eastAsiaTheme="majorEastAsia" w:cs="Arial"/>
          <w:szCs w:val="24"/>
        </w:rPr>
        <w:t>have used for defining the top local patient safety risks is as follows:</w:t>
      </w:r>
    </w:p>
    <w:p w14:paraId="6B7EDE21" w14:textId="77777777" w:rsidR="001E2792" w:rsidRPr="006D408F" w:rsidRDefault="001E2792" w:rsidP="001E2792">
      <w:pPr>
        <w:ind w:left="284"/>
        <w:rPr>
          <w:rFonts w:eastAsiaTheme="majorEastAsia" w:cs="Arial"/>
          <w:bCs w:val="0"/>
          <w:color w:val="0070C0"/>
          <w:sz w:val="16"/>
          <w:szCs w:val="16"/>
        </w:rPr>
      </w:pPr>
    </w:p>
    <w:p w14:paraId="7D1C7B57" w14:textId="77777777" w:rsidR="001E2792" w:rsidRDefault="001E2792" w:rsidP="001E2792">
      <w:pPr>
        <w:pStyle w:val="ListParagraph"/>
        <w:numPr>
          <w:ilvl w:val="0"/>
          <w:numId w:val="7"/>
        </w:numPr>
        <w:ind w:left="709" w:hanging="425"/>
        <w:rPr>
          <w:rFonts w:eastAsiaTheme="majorEastAsia" w:cs="Arial"/>
          <w:bCs w:val="0"/>
          <w:szCs w:val="24"/>
          <w:u w:val="single"/>
        </w:rPr>
      </w:pPr>
      <w:r w:rsidRPr="006D408F">
        <w:rPr>
          <w:rFonts w:eastAsiaTheme="majorEastAsia" w:cs="Arial"/>
          <w:szCs w:val="24"/>
          <w:u w:val="single"/>
        </w:rPr>
        <w:t>Potential for Harm</w:t>
      </w:r>
    </w:p>
    <w:p w14:paraId="48B4B36A" w14:textId="77777777" w:rsidR="001E2792" w:rsidRPr="00F536C8" w:rsidRDefault="001E2792" w:rsidP="001E2792">
      <w:pPr>
        <w:pStyle w:val="ListParagraph"/>
        <w:ind w:left="709"/>
        <w:rPr>
          <w:rFonts w:eastAsiaTheme="majorEastAsia" w:cs="Arial"/>
          <w:bCs w:val="0"/>
          <w:sz w:val="14"/>
          <w:szCs w:val="14"/>
          <w:u w:val="single"/>
        </w:rPr>
      </w:pPr>
    </w:p>
    <w:p w14:paraId="5753B842" w14:textId="77777777" w:rsidR="001E2792" w:rsidRPr="0074218F" w:rsidRDefault="001E2792" w:rsidP="001E2792">
      <w:pPr>
        <w:pStyle w:val="ListParagraph"/>
        <w:numPr>
          <w:ilvl w:val="2"/>
          <w:numId w:val="6"/>
        </w:numPr>
        <w:ind w:left="1134" w:hanging="425"/>
        <w:rPr>
          <w:rFonts w:eastAsiaTheme="majorEastAsia" w:cs="Arial"/>
          <w:bCs w:val="0"/>
          <w:szCs w:val="24"/>
        </w:rPr>
      </w:pPr>
      <w:r w:rsidRPr="0074218F">
        <w:rPr>
          <w:rFonts w:eastAsiaTheme="majorEastAsia" w:cs="Arial"/>
          <w:szCs w:val="24"/>
        </w:rPr>
        <w:t>People: physical, psychological, loss of trust (patients, family, caregivers)</w:t>
      </w:r>
    </w:p>
    <w:p w14:paraId="41D09225" w14:textId="77777777" w:rsidR="001E2792" w:rsidRPr="0074218F" w:rsidRDefault="001E2792" w:rsidP="001E2792">
      <w:pPr>
        <w:pStyle w:val="ListParagraph"/>
        <w:numPr>
          <w:ilvl w:val="2"/>
          <w:numId w:val="6"/>
        </w:numPr>
        <w:ind w:left="1134" w:hanging="425"/>
        <w:rPr>
          <w:rFonts w:eastAsiaTheme="majorEastAsia" w:cs="Arial"/>
          <w:bCs w:val="0"/>
          <w:szCs w:val="24"/>
        </w:rPr>
      </w:pPr>
      <w:r w:rsidRPr="0074218F">
        <w:rPr>
          <w:rFonts w:eastAsiaTheme="majorEastAsia" w:cs="Arial"/>
          <w:szCs w:val="24"/>
        </w:rPr>
        <w:t xml:space="preserve">Service delivery: impact on quality and delivery of healthcare </w:t>
      </w:r>
      <w:proofErr w:type="gramStart"/>
      <w:r w:rsidRPr="0074218F">
        <w:rPr>
          <w:rFonts w:eastAsiaTheme="majorEastAsia" w:cs="Arial"/>
          <w:szCs w:val="24"/>
        </w:rPr>
        <w:t>services;</w:t>
      </w:r>
      <w:proofErr w:type="gramEnd"/>
    </w:p>
    <w:p w14:paraId="79836AEE" w14:textId="77777777" w:rsidR="001E2792" w:rsidRPr="0074218F" w:rsidRDefault="001E2792" w:rsidP="001E2792">
      <w:pPr>
        <w:pStyle w:val="ListParagraph"/>
        <w:numPr>
          <w:ilvl w:val="2"/>
          <w:numId w:val="6"/>
        </w:numPr>
        <w:ind w:left="1134" w:hanging="425"/>
        <w:rPr>
          <w:rFonts w:eastAsiaTheme="majorEastAsia" w:cs="Arial"/>
          <w:bCs w:val="0"/>
          <w:szCs w:val="24"/>
        </w:rPr>
      </w:pPr>
      <w:r w:rsidRPr="0074218F">
        <w:rPr>
          <w:rFonts w:eastAsiaTheme="majorEastAsia" w:cs="Arial"/>
          <w:szCs w:val="24"/>
        </w:rPr>
        <w:t>Impact on capacity</w:t>
      </w:r>
    </w:p>
    <w:p w14:paraId="41AA3654" w14:textId="77777777" w:rsidR="001E2792" w:rsidRPr="0074218F" w:rsidRDefault="001E2792" w:rsidP="001E2792">
      <w:pPr>
        <w:pStyle w:val="ListParagraph"/>
        <w:numPr>
          <w:ilvl w:val="2"/>
          <w:numId w:val="6"/>
        </w:numPr>
        <w:ind w:left="1134" w:hanging="425"/>
        <w:rPr>
          <w:rFonts w:eastAsiaTheme="majorEastAsia" w:cs="Arial"/>
          <w:bCs w:val="0"/>
          <w:szCs w:val="24"/>
        </w:rPr>
      </w:pPr>
      <w:r w:rsidRPr="0074218F">
        <w:rPr>
          <w:rFonts w:eastAsiaTheme="majorEastAsia" w:cs="Arial"/>
          <w:szCs w:val="24"/>
        </w:rPr>
        <w:t>Public confidence: including political attention and media coverage</w:t>
      </w:r>
    </w:p>
    <w:p w14:paraId="39F316BF" w14:textId="77777777" w:rsidR="001E2792" w:rsidRDefault="001E2792" w:rsidP="001E2792">
      <w:pPr>
        <w:pStyle w:val="ListParagraph"/>
        <w:ind w:left="1134"/>
        <w:rPr>
          <w:rFonts w:eastAsiaTheme="majorEastAsia" w:cs="Arial"/>
          <w:bCs w:val="0"/>
          <w:sz w:val="16"/>
          <w:szCs w:val="16"/>
        </w:rPr>
      </w:pPr>
    </w:p>
    <w:p w14:paraId="3DBC7C3F" w14:textId="77777777" w:rsidR="001E2792" w:rsidRPr="006D408F" w:rsidRDefault="001E2792" w:rsidP="001E2792">
      <w:pPr>
        <w:pStyle w:val="ListParagraph"/>
        <w:ind w:left="1134"/>
        <w:rPr>
          <w:rFonts w:eastAsiaTheme="majorEastAsia" w:cs="Arial"/>
          <w:bCs w:val="0"/>
          <w:sz w:val="16"/>
          <w:szCs w:val="16"/>
        </w:rPr>
      </w:pPr>
    </w:p>
    <w:p w14:paraId="02F75515" w14:textId="77777777" w:rsidR="001E2792" w:rsidRPr="00F536C8" w:rsidRDefault="001E2792" w:rsidP="001E2792">
      <w:pPr>
        <w:pStyle w:val="ListParagraph"/>
        <w:numPr>
          <w:ilvl w:val="0"/>
          <w:numId w:val="7"/>
        </w:numPr>
        <w:ind w:left="709" w:hanging="425"/>
        <w:rPr>
          <w:rFonts w:eastAsiaTheme="majorEastAsia" w:cs="Arial"/>
          <w:bCs w:val="0"/>
          <w:color w:val="0070C0"/>
          <w:szCs w:val="24"/>
          <w:u w:val="single"/>
        </w:rPr>
      </w:pPr>
      <w:r w:rsidRPr="006D408F">
        <w:rPr>
          <w:rFonts w:eastAsiaTheme="majorEastAsia" w:cs="Arial"/>
          <w:szCs w:val="24"/>
          <w:u w:val="single"/>
        </w:rPr>
        <w:t>Likelihood of occurrence</w:t>
      </w:r>
    </w:p>
    <w:p w14:paraId="6587B216" w14:textId="77777777" w:rsidR="001E2792" w:rsidRPr="00F536C8" w:rsidRDefault="001E2792" w:rsidP="001E2792">
      <w:pPr>
        <w:pStyle w:val="ListParagraph"/>
        <w:ind w:left="709"/>
        <w:rPr>
          <w:rFonts w:eastAsiaTheme="majorEastAsia" w:cs="Arial"/>
          <w:bCs w:val="0"/>
          <w:color w:val="0070C0"/>
          <w:sz w:val="12"/>
          <w:szCs w:val="12"/>
          <w:u w:val="single"/>
        </w:rPr>
      </w:pPr>
    </w:p>
    <w:p w14:paraId="21C7DD53" w14:textId="77777777" w:rsidR="001E2792" w:rsidRPr="0074218F" w:rsidRDefault="001E2792" w:rsidP="001E2792">
      <w:pPr>
        <w:pStyle w:val="ListParagraph"/>
        <w:numPr>
          <w:ilvl w:val="2"/>
          <w:numId w:val="6"/>
        </w:numPr>
        <w:ind w:left="1134" w:hanging="425"/>
        <w:rPr>
          <w:rFonts w:eastAsiaTheme="majorEastAsia" w:cs="Arial"/>
          <w:b/>
          <w:szCs w:val="24"/>
        </w:rPr>
      </w:pPr>
      <w:r w:rsidRPr="0074218F">
        <w:rPr>
          <w:rFonts w:eastAsiaTheme="majorEastAsia" w:cs="Arial"/>
          <w:szCs w:val="24"/>
        </w:rPr>
        <w:t>Persistence of the risk</w:t>
      </w:r>
    </w:p>
    <w:p w14:paraId="0B826FC7" w14:textId="77777777" w:rsidR="001E2792" w:rsidRPr="0074218F" w:rsidRDefault="001E2792" w:rsidP="001E2792">
      <w:pPr>
        <w:pStyle w:val="ListParagraph"/>
        <w:numPr>
          <w:ilvl w:val="2"/>
          <w:numId w:val="6"/>
        </w:numPr>
        <w:ind w:left="1134" w:hanging="425"/>
        <w:rPr>
          <w:rFonts w:eastAsiaTheme="majorEastAsia" w:cs="Arial"/>
          <w:b/>
          <w:szCs w:val="24"/>
        </w:rPr>
      </w:pPr>
      <w:r w:rsidRPr="0074218F">
        <w:rPr>
          <w:rFonts w:eastAsiaTheme="majorEastAsia" w:cs="Arial"/>
          <w:szCs w:val="24"/>
        </w:rPr>
        <w:t>Frequency</w:t>
      </w:r>
    </w:p>
    <w:p w14:paraId="2606E8BB" w14:textId="77777777" w:rsidR="001E2792" w:rsidRPr="0074218F" w:rsidRDefault="001E2792" w:rsidP="001E2792">
      <w:pPr>
        <w:pStyle w:val="ListParagraph"/>
        <w:numPr>
          <w:ilvl w:val="2"/>
          <w:numId w:val="6"/>
        </w:numPr>
        <w:ind w:left="1134" w:hanging="425"/>
        <w:rPr>
          <w:rFonts w:eastAsiaTheme="majorEastAsia" w:cs="Arial"/>
          <w:b/>
          <w:szCs w:val="24"/>
        </w:rPr>
      </w:pPr>
      <w:r w:rsidRPr="0074218F">
        <w:rPr>
          <w:rFonts w:eastAsiaTheme="majorEastAsia" w:cs="Arial"/>
          <w:szCs w:val="24"/>
        </w:rPr>
        <w:t>Potential to escalate</w:t>
      </w:r>
    </w:p>
    <w:p w14:paraId="721B13B0" w14:textId="77777777" w:rsidR="001E2792" w:rsidRPr="00AB6F5B" w:rsidRDefault="001E2792" w:rsidP="001E2792">
      <w:pPr>
        <w:ind w:right="-330"/>
        <w:rPr>
          <w:rFonts w:eastAsiaTheme="majorEastAsia" w:cs="Arial"/>
          <w:bCs w:val="0"/>
          <w:color w:val="0070C0"/>
          <w:sz w:val="16"/>
          <w:szCs w:val="16"/>
        </w:rPr>
      </w:pPr>
    </w:p>
    <w:p w14:paraId="13CF4B44" w14:textId="77777777" w:rsidR="001E2792" w:rsidRDefault="001E2792" w:rsidP="001E2792">
      <w:pPr>
        <w:ind w:left="284"/>
        <w:jc w:val="both"/>
        <w:rPr>
          <w:szCs w:val="24"/>
        </w:rPr>
      </w:pPr>
      <w:r w:rsidRPr="00AB6F5B">
        <w:rPr>
          <w:szCs w:val="24"/>
        </w:rPr>
        <w:t xml:space="preserve">Following </w:t>
      </w:r>
      <w:proofErr w:type="gramStart"/>
      <w:r w:rsidRPr="00AB6F5B">
        <w:rPr>
          <w:szCs w:val="24"/>
        </w:rPr>
        <w:t>analysis</w:t>
      </w:r>
      <w:proofErr w:type="gramEnd"/>
      <w:r>
        <w:rPr>
          <w:szCs w:val="24"/>
        </w:rPr>
        <w:t xml:space="preserve"> the following five</w:t>
      </w:r>
      <w:r w:rsidRPr="00AB6F5B">
        <w:rPr>
          <w:szCs w:val="24"/>
        </w:rPr>
        <w:t xml:space="preserve"> patient safety priorities have been highlighted</w:t>
      </w:r>
      <w:r>
        <w:rPr>
          <w:szCs w:val="24"/>
        </w:rPr>
        <w:t xml:space="preserve"> and</w:t>
      </w:r>
      <w:r w:rsidRPr="00AB6F5B">
        <w:rPr>
          <w:szCs w:val="24"/>
        </w:rPr>
        <w:t xml:space="preserve"> will be </w:t>
      </w:r>
      <w:r>
        <w:rPr>
          <w:szCs w:val="24"/>
        </w:rPr>
        <w:t>in</w:t>
      </w:r>
      <w:r w:rsidRPr="00AB6F5B">
        <w:rPr>
          <w:szCs w:val="24"/>
        </w:rPr>
        <w:t xml:space="preserve"> focus for the next two years. These patient safety priorities </w:t>
      </w:r>
      <w:r>
        <w:rPr>
          <w:szCs w:val="24"/>
        </w:rPr>
        <w:t xml:space="preserve">will </w:t>
      </w:r>
      <w:r w:rsidRPr="00AB6F5B">
        <w:rPr>
          <w:szCs w:val="24"/>
        </w:rPr>
        <w:t xml:space="preserve">form the foundation for how </w:t>
      </w:r>
      <w:r>
        <w:rPr>
          <w:szCs w:val="24"/>
        </w:rPr>
        <w:t xml:space="preserve">WWLFT </w:t>
      </w:r>
      <w:r w:rsidRPr="00AB6F5B">
        <w:rPr>
          <w:szCs w:val="24"/>
        </w:rPr>
        <w:t>will decide to conduct Patient Safety Incident Investigation</w:t>
      </w:r>
      <w:r>
        <w:rPr>
          <w:szCs w:val="24"/>
        </w:rPr>
        <w:t>s</w:t>
      </w:r>
      <w:r w:rsidRPr="00AB6F5B">
        <w:rPr>
          <w:szCs w:val="24"/>
        </w:rPr>
        <w:t xml:space="preserve"> (PSII</w:t>
      </w:r>
      <w:r>
        <w:rPr>
          <w:szCs w:val="24"/>
        </w:rPr>
        <w:t>s</w:t>
      </w:r>
      <w:r w:rsidRPr="00AB6F5B">
        <w:rPr>
          <w:szCs w:val="24"/>
        </w:rPr>
        <w:t xml:space="preserve">) and </w:t>
      </w:r>
      <w:r>
        <w:rPr>
          <w:szCs w:val="24"/>
        </w:rPr>
        <w:t>P</w:t>
      </w:r>
      <w:r w:rsidRPr="00AB6F5B">
        <w:rPr>
          <w:szCs w:val="24"/>
        </w:rPr>
        <w:t xml:space="preserve">atient </w:t>
      </w:r>
      <w:r>
        <w:rPr>
          <w:szCs w:val="24"/>
        </w:rPr>
        <w:t>S</w:t>
      </w:r>
      <w:r w:rsidRPr="00AB6F5B">
        <w:rPr>
          <w:szCs w:val="24"/>
        </w:rPr>
        <w:t xml:space="preserve">afety </w:t>
      </w:r>
      <w:r>
        <w:rPr>
          <w:szCs w:val="24"/>
        </w:rPr>
        <w:t>R</w:t>
      </w:r>
      <w:r w:rsidRPr="00AB6F5B">
        <w:rPr>
          <w:szCs w:val="24"/>
        </w:rPr>
        <w:t>eviews.</w:t>
      </w:r>
      <w:r>
        <w:rPr>
          <w:szCs w:val="24"/>
        </w:rPr>
        <w:t xml:space="preserve"> </w:t>
      </w:r>
    </w:p>
    <w:p w14:paraId="12871ACA" w14:textId="77777777" w:rsidR="001E2792" w:rsidRDefault="001E2792" w:rsidP="001E2792">
      <w:pPr>
        <w:ind w:left="284"/>
        <w:jc w:val="both"/>
        <w:rPr>
          <w:szCs w:val="24"/>
        </w:rPr>
      </w:pPr>
    </w:p>
    <w:tbl>
      <w:tblPr>
        <w:tblStyle w:val="ListTable2-Accent1"/>
        <w:tblW w:w="8776"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
        <w:gridCol w:w="8312"/>
      </w:tblGrid>
      <w:tr w:rsidR="001E2792" w:rsidRPr="00AB6F5B" w14:paraId="7BD3C4C9" w14:textId="77777777" w:rsidTr="002B7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shd w:val="clear" w:color="auto" w:fill="0058B0"/>
          </w:tcPr>
          <w:p w14:paraId="641B7BDE" w14:textId="77777777" w:rsidR="001E2792" w:rsidRPr="00F13C8D" w:rsidRDefault="001E2792" w:rsidP="002B7D5F">
            <w:pPr>
              <w:jc w:val="center"/>
              <w:rPr>
                <w:rFonts w:cstheme="minorHAnsi"/>
                <w:color w:val="FFFFFF" w:themeColor="background1"/>
                <w:szCs w:val="24"/>
              </w:rPr>
            </w:pPr>
            <w:r w:rsidRPr="00F13C8D">
              <w:rPr>
                <w:rFonts w:cstheme="minorHAnsi"/>
                <w:color w:val="FFFFFF" w:themeColor="background1"/>
                <w:szCs w:val="24"/>
              </w:rPr>
              <w:t>1</w:t>
            </w:r>
          </w:p>
        </w:tc>
        <w:tc>
          <w:tcPr>
            <w:tcW w:w="8312" w:type="dxa"/>
            <w:shd w:val="clear" w:color="auto" w:fill="auto"/>
          </w:tcPr>
          <w:p w14:paraId="0D6BCE3D" w14:textId="77777777" w:rsidR="001E2792" w:rsidRPr="00AB6F5B" w:rsidRDefault="001E2792" w:rsidP="002B7D5F">
            <w:pPr>
              <w:ind w:right="-330"/>
              <w:cnfStyle w:val="100000000000" w:firstRow="1" w:lastRow="0" w:firstColumn="0" w:lastColumn="0" w:oddVBand="0" w:evenVBand="0" w:oddHBand="0" w:evenHBand="0" w:firstRowFirstColumn="0" w:firstRowLastColumn="0" w:lastRowFirstColumn="0" w:lastRowLastColumn="0"/>
              <w:rPr>
                <w:rFonts w:cstheme="minorHAnsi"/>
                <w:b w:val="0"/>
                <w:bCs/>
                <w:szCs w:val="24"/>
              </w:rPr>
            </w:pPr>
            <w:r w:rsidRPr="00AB6F5B">
              <w:rPr>
                <w:rFonts w:cstheme="minorHAnsi"/>
                <w:b w:val="0"/>
                <w:szCs w:val="24"/>
              </w:rPr>
              <w:t>Suboptimal care of a deteriorating patient</w:t>
            </w:r>
          </w:p>
        </w:tc>
      </w:tr>
      <w:tr w:rsidR="001E2792" w:rsidRPr="00AB6F5B" w14:paraId="5D6FA64F" w14:textId="77777777" w:rsidTr="002B7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shd w:val="clear" w:color="auto" w:fill="0058B0"/>
          </w:tcPr>
          <w:p w14:paraId="06314FEE" w14:textId="77777777" w:rsidR="001E2792" w:rsidRPr="00F13C8D" w:rsidRDefault="001E2792" w:rsidP="002B7D5F">
            <w:pPr>
              <w:jc w:val="center"/>
              <w:rPr>
                <w:rFonts w:cstheme="minorHAnsi"/>
                <w:color w:val="FFFFFF" w:themeColor="background1"/>
                <w:szCs w:val="24"/>
              </w:rPr>
            </w:pPr>
            <w:r w:rsidRPr="00F13C8D">
              <w:rPr>
                <w:rFonts w:cstheme="minorHAnsi"/>
                <w:color w:val="FFFFFF" w:themeColor="background1"/>
                <w:szCs w:val="24"/>
              </w:rPr>
              <w:t>2</w:t>
            </w:r>
          </w:p>
        </w:tc>
        <w:tc>
          <w:tcPr>
            <w:tcW w:w="8312" w:type="dxa"/>
            <w:shd w:val="clear" w:color="auto" w:fill="auto"/>
          </w:tcPr>
          <w:p w14:paraId="2CD40925" w14:textId="77777777" w:rsidR="001E2792" w:rsidRPr="00AB6F5B" w:rsidRDefault="001E2792" w:rsidP="002B7D5F">
            <w:pPr>
              <w:ind w:right="-330"/>
              <w:cnfStyle w:val="000000100000" w:firstRow="0" w:lastRow="0" w:firstColumn="0" w:lastColumn="0" w:oddVBand="0" w:evenVBand="0" w:oddHBand="1" w:evenHBand="0" w:firstRowFirstColumn="0" w:firstRowLastColumn="0" w:lastRowFirstColumn="0" w:lastRowLastColumn="0"/>
              <w:rPr>
                <w:rFonts w:cstheme="minorHAnsi"/>
                <w:szCs w:val="24"/>
              </w:rPr>
            </w:pPr>
            <w:r w:rsidRPr="00AB6F5B">
              <w:rPr>
                <w:rFonts w:cstheme="minorHAnsi"/>
                <w:szCs w:val="24"/>
              </w:rPr>
              <w:t>Treatment delays</w:t>
            </w:r>
          </w:p>
        </w:tc>
      </w:tr>
      <w:tr w:rsidR="001E2792" w:rsidRPr="00AB6F5B" w14:paraId="70EF3442" w14:textId="77777777" w:rsidTr="002B7D5F">
        <w:tc>
          <w:tcPr>
            <w:cnfStyle w:val="001000000000" w:firstRow="0" w:lastRow="0" w:firstColumn="1" w:lastColumn="0" w:oddVBand="0" w:evenVBand="0" w:oddHBand="0" w:evenHBand="0" w:firstRowFirstColumn="0" w:firstRowLastColumn="0" w:lastRowFirstColumn="0" w:lastRowLastColumn="0"/>
            <w:tcW w:w="464" w:type="dxa"/>
            <w:shd w:val="clear" w:color="auto" w:fill="0058B0"/>
          </w:tcPr>
          <w:p w14:paraId="1F4C04AF" w14:textId="77777777" w:rsidR="001E2792" w:rsidRPr="00F13C8D" w:rsidRDefault="001E2792" w:rsidP="002B7D5F">
            <w:pPr>
              <w:jc w:val="center"/>
              <w:rPr>
                <w:rFonts w:cstheme="minorHAnsi"/>
                <w:color w:val="FFFFFF" w:themeColor="background1"/>
                <w:szCs w:val="24"/>
              </w:rPr>
            </w:pPr>
            <w:r w:rsidRPr="00F13C8D">
              <w:rPr>
                <w:rFonts w:cstheme="minorHAnsi"/>
                <w:color w:val="FFFFFF" w:themeColor="background1"/>
                <w:szCs w:val="24"/>
              </w:rPr>
              <w:t>3</w:t>
            </w:r>
          </w:p>
        </w:tc>
        <w:tc>
          <w:tcPr>
            <w:tcW w:w="8312" w:type="dxa"/>
            <w:shd w:val="clear" w:color="auto" w:fill="auto"/>
          </w:tcPr>
          <w:p w14:paraId="425C7B33" w14:textId="77777777" w:rsidR="001E2792" w:rsidRPr="00AB6F5B" w:rsidRDefault="001E2792" w:rsidP="002B7D5F">
            <w:pPr>
              <w:ind w:right="-330"/>
              <w:cnfStyle w:val="000000000000" w:firstRow="0" w:lastRow="0" w:firstColumn="0" w:lastColumn="0" w:oddVBand="0" w:evenVBand="0" w:oddHBand="0" w:evenHBand="0" w:firstRowFirstColumn="0" w:firstRowLastColumn="0" w:lastRowFirstColumn="0" w:lastRowLastColumn="0"/>
              <w:rPr>
                <w:rFonts w:cstheme="minorHAnsi"/>
                <w:szCs w:val="24"/>
              </w:rPr>
            </w:pPr>
            <w:r w:rsidRPr="00AB6F5B">
              <w:rPr>
                <w:rFonts w:cstheme="minorHAnsi"/>
                <w:szCs w:val="24"/>
              </w:rPr>
              <w:t>Diagnostic delays</w:t>
            </w:r>
          </w:p>
        </w:tc>
      </w:tr>
      <w:tr w:rsidR="001E2792" w:rsidRPr="00AB6F5B" w14:paraId="623720D5" w14:textId="77777777" w:rsidTr="002B7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shd w:val="clear" w:color="auto" w:fill="0058B0"/>
          </w:tcPr>
          <w:p w14:paraId="23B4B4ED" w14:textId="77777777" w:rsidR="001E2792" w:rsidRPr="00F13C8D" w:rsidRDefault="001E2792" w:rsidP="002B7D5F">
            <w:pPr>
              <w:jc w:val="center"/>
              <w:rPr>
                <w:rFonts w:cstheme="minorHAnsi"/>
                <w:color w:val="FFFFFF" w:themeColor="background1"/>
                <w:szCs w:val="24"/>
              </w:rPr>
            </w:pPr>
            <w:r w:rsidRPr="00F13C8D">
              <w:rPr>
                <w:rFonts w:cstheme="minorHAnsi"/>
                <w:color w:val="FFFFFF" w:themeColor="background1"/>
                <w:szCs w:val="24"/>
              </w:rPr>
              <w:t>4</w:t>
            </w:r>
          </w:p>
        </w:tc>
        <w:tc>
          <w:tcPr>
            <w:tcW w:w="8312" w:type="dxa"/>
            <w:shd w:val="clear" w:color="auto" w:fill="auto"/>
          </w:tcPr>
          <w:p w14:paraId="668D9FC4" w14:textId="77777777" w:rsidR="001E2792" w:rsidRPr="00AB6F5B" w:rsidRDefault="001E2792" w:rsidP="002B7D5F">
            <w:pPr>
              <w:ind w:right="-330"/>
              <w:cnfStyle w:val="000000100000" w:firstRow="0" w:lastRow="0" w:firstColumn="0" w:lastColumn="0" w:oddVBand="0" w:evenVBand="0" w:oddHBand="1" w:evenHBand="0" w:firstRowFirstColumn="0" w:firstRowLastColumn="0" w:lastRowFirstColumn="0" w:lastRowLastColumn="0"/>
              <w:rPr>
                <w:rFonts w:cstheme="minorHAnsi"/>
                <w:szCs w:val="24"/>
              </w:rPr>
            </w:pPr>
            <w:r w:rsidRPr="00AB6F5B">
              <w:rPr>
                <w:rFonts w:cstheme="minorHAnsi"/>
                <w:szCs w:val="24"/>
              </w:rPr>
              <w:t xml:space="preserve">Medication </w:t>
            </w:r>
            <w:r w:rsidRPr="00DC4755">
              <w:rPr>
                <w:rFonts w:cstheme="minorHAnsi"/>
                <w:color w:val="auto"/>
                <w:szCs w:val="24"/>
              </w:rPr>
              <w:t>Incident (category see table 2 below)</w:t>
            </w:r>
          </w:p>
        </w:tc>
      </w:tr>
      <w:tr w:rsidR="001E2792" w:rsidRPr="00AB6F5B" w14:paraId="4A97935F" w14:textId="77777777" w:rsidTr="002B7D5F">
        <w:tc>
          <w:tcPr>
            <w:cnfStyle w:val="001000000000" w:firstRow="0" w:lastRow="0" w:firstColumn="1" w:lastColumn="0" w:oddVBand="0" w:evenVBand="0" w:oddHBand="0" w:evenHBand="0" w:firstRowFirstColumn="0" w:firstRowLastColumn="0" w:lastRowFirstColumn="0" w:lastRowLastColumn="0"/>
            <w:tcW w:w="464" w:type="dxa"/>
            <w:shd w:val="clear" w:color="auto" w:fill="0058B0"/>
          </w:tcPr>
          <w:p w14:paraId="77F3642A" w14:textId="77777777" w:rsidR="001E2792" w:rsidRPr="00F13C8D" w:rsidRDefault="001E2792" w:rsidP="002B7D5F">
            <w:pPr>
              <w:jc w:val="center"/>
              <w:rPr>
                <w:rFonts w:cstheme="minorHAnsi"/>
                <w:color w:val="FFFFFF" w:themeColor="background1"/>
                <w:szCs w:val="24"/>
              </w:rPr>
            </w:pPr>
            <w:r w:rsidRPr="00F13C8D">
              <w:rPr>
                <w:rFonts w:cstheme="minorHAnsi"/>
                <w:color w:val="FFFFFF" w:themeColor="background1"/>
                <w:szCs w:val="24"/>
              </w:rPr>
              <w:t>5</w:t>
            </w:r>
          </w:p>
        </w:tc>
        <w:tc>
          <w:tcPr>
            <w:tcW w:w="8312" w:type="dxa"/>
            <w:shd w:val="clear" w:color="auto" w:fill="auto"/>
          </w:tcPr>
          <w:p w14:paraId="4F56A8D3" w14:textId="77777777" w:rsidR="001E2792" w:rsidRPr="00AB6F5B" w:rsidRDefault="001E2792" w:rsidP="002B7D5F">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AB6F5B">
              <w:rPr>
                <w:rFonts w:cstheme="minorHAnsi"/>
                <w:szCs w:val="24"/>
              </w:rPr>
              <w:t>Discharge Incidents</w:t>
            </w:r>
          </w:p>
        </w:tc>
      </w:tr>
    </w:tbl>
    <w:p w14:paraId="33FD92DB" w14:textId="77777777" w:rsidR="001E2792" w:rsidRDefault="001E2792" w:rsidP="001E2792">
      <w:pPr>
        <w:ind w:left="284"/>
        <w:jc w:val="both"/>
        <w:rPr>
          <w:szCs w:val="24"/>
        </w:rPr>
      </w:pPr>
    </w:p>
    <w:p w14:paraId="21F7B241" w14:textId="77777777" w:rsidR="001E2792" w:rsidRDefault="001E2792" w:rsidP="001E2792">
      <w:pPr>
        <w:ind w:left="284"/>
        <w:jc w:val="both"/>
        <w:rPr>
          <w:szCs w:val="24"/>
        </w:rPr>
      </w:pPr>
    </w:p>
    <w:p w14:paraId="367E2129" w14:textId="77777777" w:rsidR="001E2792" w:rsidRDefault="001E2792" w:rsidP="001E2792">
      <w:pPr>
        <w:jc w:val="both"/>
        <w:rPr>
          <w:szCs w:val="24"/>
        </w:rPr>
      </w:pPr>
    </w:p>
    <w:p w14:paraId="1FCAE88E" w14:textId="77777777" w:rsidR="001E2792" w:rsidRDefault="001E2792" w:rsidP="001E2792">
      <w:pPr>
        <w:ind w:left="284"/>
        <w:jc w:val="both"/>
        <w:rPr>
          <w:szCs w:val="24"/>
        </w:rPr>
      </w:pPr>
    </w:p>
    <w:p w14:paraId="46484E13" w14:textId="77777777" w:rsidR="001E2792" w:rsidRDefault="001E2792" w:rsidP="001E2792">
      <w:pPr>
        <w:ind w:left="284"/>
        <w:jc w:val="both"/>
        <w:rPr>
          <w:szCs w:val="24"/>
        </w:rPr>
      </w:pPr>
    </w:p>
    <w:p w14:paraId="5EE81B79" w14:textId="77777777" w:rsidR="001E2792" w:rsidRDefault="001E2792" w:rsidP="001E2792">
      <w:pPr>
        <w:ind w:left="284"/>
        <w:jc w:val="both"/>
        <w:rPr>
          <w:szCs w:val="24"/>
        </w:rPr>
      </w:pPr>
    </w:p>
    <w:p w14:paraId="0972D25E" w14:textId="77777777" w:rsidR="001E2792" w:rsidRDefault="001E2792" w:rsidP="001E2792">
      <w:pPr>
        <w:ind w:left="284"/>
        <w:jc w:val="both"/>
        <w:rPr>
          <w:szCs w:val="24"/>
        </w:rPr>
      </w:pPr>
    </w:p>
    <w:p w14:paraId="14FD18B9" w14:textId="77777777" w:rsidR="001E2792" w:rsidRDefault="001E2792" w:rsidP="001E2792">
      <w:pPr>
        <w:ind w:left="284"/>
        <w:jc w:val="both"/>
        <w:rPr>
          <w:szCs w:val="24"/>
        </w:rPr>
      </w:pPr>
    </w:p>
    <w:p w14:paraId="4CAA2A01" w14:textId="77777777" w:rsidR="001E2792" w:rsidRDefault="001E2792" w:rsidP="001E2792">
      <w:pPr>
        <w:ind w:left="284"/>
        <w:jc w:val="both"/>
        <w:rPr>
          <w:szCs w:val="24"/>
        </w:rPr>
      </w:pPr>
    </w:p>
    <w:p w14:paraId="371A3611" w14:textId="77777777" w:rsidR="001E2792" w:rsidRDefault="001E2792" w:rsidP="001E2792">
      <w:pPr>
        <w:ind w:left="284"/>
        <w:jc w:val="both"/>
        <w:rPr>
          <w:szCs w:val="24"/>
        </w:rPr>
      </w:pPr>
    </w:p>
    <w:p w14:paraId="0398EB84" w14:textId="77777777" w:rsidR="001E2792" w:rsidRDefault="001E2792" w:rsidP="001E2792">
      <w:pPr>
        <w:ind w:left="284"/>
        <w:jc w:val="both"/>
        <w:rPr>
          <w:szCs w:val="24"/>
        </w:rPr>
      </w:pPr>
    </w:p>
    <w:p w14:paraId="1C8FE96B" w14:textId="77777777" w:rsidR="001E2792" w:rsidRDefault="001E2792" w:rsidP="001E2792">
      <w:pPr>
        <w:ind w:left="284"/>
        <w:jc w:val="both"/>
        <w:rPr>
          <w:szCs w:val="24"/>
        </w:rPr>
      </w:pPr>
    </w:p>
    <w:p w14:paraId="57FA65C4" w14:textId="77777777" w:rsidR="001E2792" w:rsidRDefault="001E2792" w:rsidP="001E2792">
      <w:pPr>
        <w:ind w:left="284"/>
        <w:jc w:val="both"/>
        <w:rPr>
          <w:szCs w:val="24"/>
        </w:rPr>
      </w:pPr>
    </w:p>
    <w:p w14:paraId="3C1EFD60" w14:textId="77777777" w:rsidR="001E2792" w:rsidRDefault="001E2792" w:rsidP="001E2792">
      <w:pPr>
        <w:ind w:left="284"/>
        <w:jc w:val="both"/>
        <w:rPr>
          <w:szCs w:val="24"/>
        </w:rPr>
      </w:pPr>
    </w:p>
    <w:p w14:paraId="0BEB184E" w14:textId="77777777" w:rsidR="001E2792" w:rsidRDefault="001E2792" w:rsidP="001E2792">
      <w:pPr>
        <w:ind w:left="284"/>
        <w:jc w:val="both"/>
        <w:rPr>
          <w:szCs w:val="24"/>
        </w:rPr>
      </w:pPr>
    </w:p>
    <w:p w14:paraId="5510264D" w14:textId="77777777" w:rsidR="001E2792" w:rsidRDefault="001E2792" w:rsidP="001E2792">
      <w:pPr>
        <w:ind w:left="284"/>
        <w:jc w:val="both"/>
        <w:rPr>
          <w:szCs w:val="24"/>
        </w:rPr>
      </w:pPr>
    </w:p>
    <w:p w14:paraId="32C16DEF" w14:textId="77777777" w:rsidR="00B12559" w:rsidRDefault="00B12559" w:rsidP="00B64D91">
      <w:pPr>
        <w:jc w:val="both"/>
        <w:rPr>
          <w:szCs w:val="24"/>
        </w:rPr>
      </w:pPr>
    </w:p>
    <w:p w14:paraId="41A33BCC" w14:textId="77777777" w:rsidR="001E2792" w:rsidRPr="00AB6F5B" w:rsidRDefault="001E2792" w:rsidP="001E2792">
      <w:pPr>
        <w:ind w:left="284"/>
        <w:jc w:val="both"/>
        <w:rPr>
          <w:szCs w:val="24"/>
        </w:rPr>
      </w:pPr>
    </w:p>
    <w:p w14:paraId="2E39D003" w14:textId="77777777" w:rsidR="001E2792" w:rsidRPr="00F07498" w:rsidRDefault="001E2792" w:rsidP="001E2792">
      <w:pPr>
        <w:pStyle w:val="Heading1"/>
        <w:numPr>
          <w:ilvl w:val="0"/>
          <w:numId w:val="8"/>
        </w:numPr>
        <w:spacing w:before="0"/>
        <w:ind w:left="284" w:right="119" w:hanging="568"/>
        <w:jc w:val="both"/>
        <w:rPr>
          <w:rFonts w:asciiTheme="minorHAnsi" w:hAnsiTheme="minorHAnsi" w:cstheme="minorHAnsi"/>
          <w:b/>
          <w:bCs w:val="0"/>
          <w:color w:val="0058B0"/>
          <w:sz w:val="36"/>
          <w:szCs w:val="36"/>
        </w:rPr>
      </w:pPr>
      <w:r w:rsidRPr="00F07498">
        <w:rPr>
          <w:rFonts w:asciiTheme="minorHAnsi" w:hAnsiTheme="minorHAnsi" w:cstheme="minorHAnsi"/>
          <w:bCs w:val="0"/>
          <w:color w:val="0058B0"/>
          <w:sz w:val="36"/>
          <w:szCs w:val="36"/>
        </w:rPr>
        <w:t>Defining our patient safety improvement profile</w:t>
      </w:r>
    </w:p>
    <w:p w14:paraId="7AEDC0D4" w14:textId="77777777" w:rsidR="001E2792" w:rsidRPr="00805A26" w:rsidRDefault="001E2792" w:rsidP="001E2792"/>
    <w:p w14:paraId="0E0B78A2" w14:textId="77777777" w:rsidR="001E2792" w:rsidRDefault="001E2792" w:rsidP="001E2792">
      <w:pPr>
        <w:ind w:left="284"/>
        <w:jc w:val="both"/>
        <w:rPr>
          <w:szCs w:val="24"/>
        </w:rPr>
      </w:pPr>
      <w:r w:rsidRPr="00805A26">
        <w:rPr>
          <w:szCs w:val="24"/>
        </w:rPr>
        <w:t xml:space="preserve">Over </w:t>
      </w:r>
      <w:proofErr w:type="gramStart"/>
      <w:r w:rsidRPr="00805A26">
        <w:rPr>
          <w:szCs w:val="24"/>
        </w:rPr>
        <w:t>a number of</w:t>
      </w:r>
      <w:proofErr w:type="gramEnd"/>
      <w:r w:rsidRPr="00805A26">
        <w:rPr>
          <w:szCs w:val="24"/>
        </w:rPr>
        <w:t xml:space="preserve"> years, </w:t>
      </w:r>
      <w:r>
        <w:rPr>
          <w:szCs w:val="24"/>
        </w:rPr>
        <w:t>WWLFT</w:t>
      </w:r>
      <w:r w:rsidRPr="00805A26">
        <w:rPr>
          <w:szCs w:val="24"/>
        </w:rPr>
        <w:t xml:space="preserve"> has developed its governance processes to ensure </w:t>
      </w:r>
      <w:r>
        <w:rPr>
          <w:szCs w:val="24"/>
        </w:rPr>
        <w:t xml:space="preserve">that </w:t>
      </w:r>
      <w:r w:rsidRPr="00805A26">
        <w:rPr>
          <w:szCs w:val="24"/>
        </w:rPr>
        <w:t xml:space="preserve">it gains </w:t>
      </w:r>
      <w:r>
        <w:rPr>
          <w:szCs w:val="24"/>
        </w:rPr>
        <w:t xml:space="preserve">valuable </w:t>
      </w:r>
      <w:r w:rsidRPr="00805A26">
        <w:rPr>
          <w:szCs w:val="24"/>
        </w:rPr>
        <w:t xml:space="preserve">insight </w:t>
      </w:r>
      <w:r>
        <w:rPr>
          <w:szCs w:val="24"/>
        </w:rPr>
        <w:t xml:space="preserve">and learning </w:t>
      </w:r>
      <w:r w:rsidRPr="00805A26">
        <w:rPr>
          <w:szCs w:val="24"/>
        </w:rPr>
        <w:t xml:space="preserve">from </w:t>
      </w:r>
      <w:r>
        <w:rPr>
          <w:szCs w:val="24"/>
        </w:rPr>
        <w:t xml:space="preserve">the review of </w:t>
      </w:r>
      <w:r w:rsidRPr="00805A26">
        <w:rPr>
          <w:szCs w:val="24"/>
        </w:rPr>
        <w:t xml:space="preserve">patient safety incidents </w:t>
      </w:r>
      <w:r>
        <w:rPr>
          <w:szCs w:val="24"/>
        </w:rPr>
        <w:t>that then feeds into our</w:t>
      </w:r>
      <w:r w:rsidRPr="00805A26">
        <w:rPr>
          <w:szCs w:val="24"/>
        </w:rPr>
        <w:t xml:space="preserve"> quality improvement activity. </w:t>
      </w:r>
    </w:p>
    <w:p w14:paraId="691F9CD1" w14:textId="77777777" w:rsidR="001E2792" w:rsidRDefault="001E2792" w:rsidP="001E2792">
      <w:pPr>
        <w:ind w:left="284"/>
        <w:jc w:val="both"/>
        <w:rPr>
          <w:szCs w:val="24"/>
        </w:rPr>
      </w:pPr>
    </w:p>
    <w:p w14:paraId="7CCFE014" w14:textId="77777777" w:rsidR="001E2792" w:rsidRPr="00805A26" w:rsidRDefault="001E2792" w:rsidP="001E2792">
      <w:pPr>
        <w:ind w:left="284"/>
        <w:jc w:val="both"/>
        <w:rPr>
          <w:szCs w:val="24"/>
        </w:rPr>
      </w:pPr>
      <w:r>
        <w:rPr>
          <w:szCs w:val="24"/>
        </w:rPr>
        <w:t>WWLFT</w:t>
      </w:r>
      <w:r w:rsidRPr="00805A26">
        <w:rPr>
          <w:szCs w:val="24"/>
        </w:rPr>
        <w:t xml:space="preserve"> will also continue to draw on guidance and feedback from national and regional level NHS bodies, regulators, partner providers and other key stakeholders to identify and define the quality improvement work </w:t>
      </w:r>
      <w:r>
        <w:rPr>
          <w:szCs w:val="24"/>
        </w:rPr>
        <w:t xml:space="preserve">that </w:t>
      </w:r>
      <w:r w:rsidRPr="00805A26">
        <w:rPr>
          <w:szCs w:val="24"/>
        </w:rPr>
        <w:t>we need to undertake.</w:t>
      </w:r>
    </w:p>
    <w:p w14:paraId="4DD45D85" w14:textId="77777777" w:rsidR="001E2792" w:rsidRPr="00805A26" w:rsidRDefault="001E2792" w:rsidP="001E2792">
      <w:pPr>
        <w:ind w:left="284"/>
        <w:jc w:val="both"/>
        <w:rPr>
          <w:szCs w:val="24"/>
        </w:rPr>
      </w:pPr>
    </w:p>
    <w:p w14:paraId="671493B3" w14:textId="77777777" w:rsidR="001E2792" w:rsidRPr="00805A26" w:rsidRDefault="001E2792" w:rsidP="001E2792">
      <w:pPr>
        <w:ind w:left="284"/>
        <w:jc w:val="both"/>
        <w:rPr>
          <w:szCs w:val="24"/>
        </w:rPr>
      </w:pPr>
      <w:r w:rsidRPr="00805A26">
        <w:rPr>
          <w:szCs w:val="24"/>
        </w:rPr>
        <w:t xml:space="preserve">The </w:t>
      </w:r>
      <w:bookmarkStart w:id="1" w:name="_Hlk139705651"/>
      <w:r w:rsidRPr="00261C7E">
        <w:rPr>
          <w:szCs w:val="24"/>
        </w:rPr>
        <w:t>Learning from Patient Safety Events (</w:t>
      </w:r>
      <w:proofErr w:type="spellStart"/>
      <w:r w:rsidRPr="00261C7E">
        <w:rPr>
          <w:szCs w:val="24"/>
        </w:rPr>
        <w:t>LfPSE</w:t>
      </w:r>
      <w:proofErr w:type="spellEnd"/>
      <w:r w:rsidRPr="00261C7E">
        <w:rPr>
          <w:szCs w:val="24"/>
        </w:rPr>
        <w:t xml:space="preserve">) Group </w:t>
      </w:r>
      <w:bookmarkEnd w:id="1"/>
      <w:r w:rsidRPr="00805A26">
        <w:rPr>
          <w:szCs w:val="24"/>
        </w:rPr>
        <w:t xml:space="preserve">will provide assurance that quality improvement measures including any safety improvement plans in use currently, or which require development and implementation in the future, continue to be of the highest standard. </w:t>
      </w:r>
      <w:r>
        <w:rPr>
          <w:szCs w:val="24"/>
        </w:rPr>
        <w:t xml:space="preserve">The </w:t>
      </w:r>
      <w:proofErr w:type="spellStart"/>
      <w:r w:rsidRPr="00261C7E">
        <w:rPr>
          <w:szCs w:val="24"/>
        </w:rPr>
        <w:t>LfPSE</w:t>
      </w:r>
      <w:proofErr w:type="spellEnd"/>
      <w:r w:rsidRPr="00805A26">
        <w:rPr>
          <w:color w:val="FF0000"/>
          <w:szCs w:val="24"/>
        </w:rPr>
        <w:t xml:space="preserve"> </w:t>
      </w:r>
      <w:r w:rsidRPr="00805A26">
        <w:rPr>
          <w:szCs w:val="24"/>
        </w:rPr>
        <w:t>will be responsible for the oversight of this quality improvement work including the robust use of quality improvement methodology.</w:t>
      </w:r>
    </w:p>
    <w:p w14:paraId="1B7338CF" w14:textId="77777777" w:rsidR="001E2792" w:rsidRPr="00805A26" w:rsidRDefault="001E2792" w:rsidP="001E2792">
      <w:pPr>
        <w:ind w:left="284"/>
        <w:jc w:val="both"/>
        <w:rPr>
          <w:szCs w:val="24"/>
        </w:rPr>
      </w:pPr>
    </w:p>
    <w:p w14:paraId="2E571D90" w14:textId="77777777" w:rsidR="001E2792" w:rsidRPr="00805A26" w:rsidRDefault="001E2792" w:rsidP="001E2792">
      <w:pPr>
        <w:ind w:left="284"/>
        <w:jc w:val="both"/>
        <w:rPr>
          <w:szCs w:val="24"/>
        </w:rPr>
      </w:pPr>
      <w:r w:rsidRPr="00805A26">
        <w:rPr>
          <w:szCs w:val="24"/>
        </w:rPr>
        <w:t xml:space="preserve">Our clinical and corporate divisions are required to report to our </w:t>
      </w:r>
      <w:r w:rsidRPr="009E1F7C">
        <w:rPr>
          <w:szCs w:val="24"/>
        </w:rPr>
        <w:t>Strategic Patient Safety Group</w:t>
      </w:r>
      <w:r w:rsidRPr="00805A26">
        <w:rPr>
          <w:szCs w:val="24"/>
        </w:rPr>
        <w:t xml:space="preserve"> </w:t>
      </w:r>
      <w:proofErr w:type="gramStart"/>
      <w:r w:rsidRPr="00805A26">
        <w:rPr>
          <w:szCs w:val="24"/>
        </w:rPr>
        <w:t>in order to</w:t>
      </w:r>
      <w:proofErr w:type="gramEnd"/>
      <w:r w:rsidRPr="00805A26">
        <w:rPr>
          <w:szCs w:val="24"/>
        </w:rPr>
        <w:t xml:space="preserve"> monitor and measure improvement activity across the organisation. This group will also provide assurance during the development of new safety improvement plans following reviews undertaken within PSIRF to ensure they have followed robust processes during development and fulfil SMART requirements and are sufficient to allow </w:t>
      </w:r>
      <w:r>
        <w:rPr>
          <w:szCs w:val="24"/>
        </w:rPr>
        <w:t>WWLFT</w:t>
      </w:r>
      <w:r w:rsidRPr="00805A26">
        <w:rPr>
          <w:szCs w:val="24"/>
        </w:rPr>
        <w:t xml:space="preserve"> to improve patient safety in future.</w:t>
      </w:r>
    </w:p>
    <w:p w14:paraId="5F15F846" w14:textId="77777777" w:rsidR="001E2792" w:rsidRPr="00805A26" w:rsidRDefault="001E2792" w:rsidP="001E2792">
      <w:pPr>
        <w:jc w:val="both"/>
        <w:rPr>
          <w:szCs w:val="24"/>
        </w:rPr>
      </w:pPr>
    </w:p>
    <w:p w14:paraId="68E282E6" w14:textId="77777777" w:rsidR="001E2792" w:rsidRPr="00805A26" w:rsidRDefault="001E2792" w:rsidP="001E2792">
      <w:pPr>
        <w:ind w:left="284"/>
        <w:jc w:val="both"/>
        <w:rPr>
          <w:szCs w:val="24"/>
        </w:rPr>
      </w:pPr>
      <w:r w:rsidRPr="00805A26">
        <w:rPr>
          <w:szCs w:val="24"/>
        </w:rPr>
        <w:t>We plan to focus our efforts going forward on development of safety improvement plans across our most significant incident types either those within national priorities, or those we have identified locally. We will remain flexible and consider improvement planning as required where a risk or patient safety issue emerges from our own ongoing internal or external insights.</w:t>
      </w:r>
    </w:p>
    <w:p w14:paraId="54C499DB" w14:textId="77777777" w:rsidR="001E2792" w:rsidRPr="0080766E" w:rsidRDefault="001E2792" w:rsidP="001E2792">
      <w:pPr>
        <w:rPr>
          <w:szCs w:val="24"/>
        </w:rPr>
      </w:pPr>
    </w:p>
    <w:p w14:paraId="154F3A68" w14:textId="77777777" w:rsidR="001E2792" w:rsidRDefault="001E2792" w:rsidP="001E2792"/>
    <w:p w14:paraId="1B806513" w14:textId="77777777" w:rsidR="001E2792" w:rsidRDefault="001E2792" w:rsidP="001E2792"/>
    <w:p w14:paraId="27B253B5" w14:textId="77777777" w:rsidR="001E2792" w:rsidRDefault="001E2792" w:rsidP="001E2792"/>
    <w:p w14:paraId="7F421D5E" w14:textId="77777777" w:rsidR="001E2792" w:rsidRDefault="001E2792" w:rsidP="001E2792"/>
    <w:p w14:paraId="266D9E74" w14:textId="77777777" w:rsidR="001E2792" w:rsidRDefault="001E2792" w:rsidP="001E2792"/>
    <w:p w14:paraId="566492FE" w14:textId="77777777" w:rsidR="001E2792" w:rsidRDefault="001E2792" w:rsidP="001E2792"/>
    <w:p w14:paraId="6B6805B8" w14:textId="77777777" w:rsidR="001E2792" w:rsidRDefault="001E2792" w:rsidP="001E2792"/>
    <w:p w14:paraId="10B04FD2" w14:textId="77777777" w:rsidR="001E2792" w:rsidRDefault="001E2792" w:rsidP="001E2792"/>
    <w:p w14:paraId="56F2D506" w14:textId="77777777" w:rsidR="001E2792" w:rsidRDefault="001E2792" w:rsidP="001E2792"/>
    <w:p w14:paraId="3CE327B0" w14:textId="77777777" w:rsidR="001E2792" w:rsidRDefault="001E2792" w:rsidP="001E2792"/>
    <w:p w14:paraId="717662FA" w14:textId="77777777" w:rsidR="001E2792" w:rsidRDefault="001E2792" w:rsidP="001E2792"/>
    <w:p w14:paraId="65BFFB11" w14:textId="77777777" w:rsidR="001E2792" w:rsidRDefault="001E2792" w:rsidP="001E2792"/>
    <w:p w14:paraId="110FAAE6" w14:textId="77777777" w:rsidR="001E2792" w:rsidRDefault="001E2792" w:rsidP="001E2792"/>
    <w:p w14:paraId="211BE65D" w14:textId="77777777" w:rsidR="001E2792" w:rsidRDefault="001E2792" w:rsidP="001E2792"/>
    <w:p w14:paraId="46614917" w14:textId="77777777" w:rsidR="001E2792" w:rsidRDefault="001E2792" w:rsidP="001E2792"/>
    <w:p w14:paraId="1D3DBFE3" w14:textId="77777777" w:rsidR="001E2792" w:rsidRPr="002E7C68" w:rsidRDefault="001E2792" w:rsidP="001E2792"/>
    <w:p w14:paraId="64F73AB5" w14:textId="77777777" w:rsidR="001E2792" w:rsidRPr="00F07498" w:rsidRDefault="001E2792" w:rsidP="001E2792">
      <w:pPr>
        <w:pStyle w:val="Heading1"/>
        <w:numPr>
          <w:ilvl w:val="0"/>
          <w:numId w:val="8"/>
        </w:numPr>
        <w:spacing w:before="0"/>
        <w:ind w:left="284" w:right="119" w:hanging="568"/>
        <w:rPr>
          <w:rFonts w:asciiTheme="minorHAnsi" w:hAnsiTheme="minorHAnsi" w:cstheme="minorHAnsi"/>
          <w:b/>
          <w:bCs w:val="0"/>
          <w:color w:val="0058B0"/>
          <w:sz w:val="36"/>
          <w:szCs w:val="36"/>
        </w:rPr>
      </w:pPr>
      <w:r w:rsidRPr="00F07498">
        <w:rPr>
          <w:rFonts w:asciiTheme="minorHAnsi" w:hAnsiTheme="minorHAnsi" w:cstheme="minorHAnsi"/>
          <w:bCs w:val="0"/>
          <w:color w:val="0058B0"/>
          <w:sz w:val="36"/>
          <w:szCs w:val="36"/>
        </w:rPr>
        <w:t>Our patient safety incident response plan: national requirements</w:t>
      </w:r>
    </w:p>
    <w:p w14:paraId="7B942A63" w14:textId="77777777" w:rsidR="001E2792" w:rsidRPr="004B4884" w:rsidRDefault="001E2792" w:rsidP="001E2792">
      <w:pPr>
        <w:rPr>
          <w:sz w:val="16"/>
          <w:szCs w:val="16"/>
        </w:rPr>
      </w:pPr>
    </w:p>
    <w:p w14:paraId="7E2B02BC" w14:textId="77777777" w:rsidR="001E2792" w:rsidRPr="001E2792" w:rsidRDefault="001E2792" w:rsidP="001E2792">
      <w:pPr>
        <w:pStyle w:val="Default"/>
        <w:ind w:left="284"/>
        <w:jc w:val="both"/>
        <w:rPr>
          <w:rFonts w:asciiTheme="minorHAnsi" w:hAnsiTheme="minorHAnsi" w:cstheme="minorHAnsi"/>
        </w:rPr>
      </w:pPr>
      <w:r w:rsidRPr="001E2792">
        <w:rPr>
          <w:rFonts w:asciiTheme="minorHAnsi" w:hAnsiTheme="minorHAnsi" w:cstheme="minorHAnsi"/>
        </w:rPr>
        <w:t>Given that WWLFT has finite resources for patient safety incident response, we intend to use those resources to maximise improvement. PSIRF will allow us to do this, rather than repeatedly responding to patient safety incidents based on subjective thresholds and definitions of harm, from which any new emergent learning will be limited.</w:t>
      </w:r>
    </w:p>
    <w:p w14:paraId="5314E05B" w14:textId="77777777" w:rsidR="001E2792" w:rsidRPr="001E2792" w:rsidRDefault="001E2792" w:rsidP="001E2792">
      <w:pPr>
        <w:pStyle w:val="Default"/>
        <w:ind w:left="284"/>
        <w:jc w:val="both"/>
        <w:rPr>
          <w:rFonts w:asciiTheme="minorHAnsi" w:hAnsiTheme="minorHAnsi" w:cstheme="minorHAnsi"/>
        </w:rPr>
      </w:pPr>
    </w:p>
    <w:p w14:paraId="62EFD8DA" w14:textId="77777777" w:rsidR="001E2792" w:rsidRDefault="001E2792" w:rsidP="001E2792">
      <w:pPr>
        <w:pStyle w:val="Default"/>
        <w:ind w:left="284"/>
        <w:jc w:val="both"/>
        <w:rPr>
          <w:rFonts w:asciiTheme="minorHAnsi" w:hAnsiTheme="minorHAnsi" w:cstheme="minorHAnsi"/>
        </w:rPr>
      </w:pPr>
      <w:r w:rsidRPr="001E2792">
        <w:rPr>
          <w:rFonts w:asciiTheme="minorHAnsi" w:hAnsiTheme="minorHAnsi" w:cstheme="minorHAnsi"/>
        </w:rPr>
        <w:t xml:space="preserve">Some events in healthcare require a specific type of response as set out in the national policies or regulations. These responses may include review by or referral to another body or team, depending on the nature of the event. </w:t>
      </w:r>
    </w:p>
    <w:p w14:paraId="265EFC36" w14:textId="77777777" w:rsidR="001E2792" w:rsidRPr="001E2792" w:rsidRDefault="001E2792" w:rsidP="00386D46">
      <w:pPr>
        <w:pStyle w:val="Default"/>
        <w:jc w:val="both"/>
        <w:rPr>
          <w:rFonts w:asciiTheme="minorHAnsi" w:hAnsiTheme="minorHAnsi" w:cstheme="minorHAnsi"/>
          <w:sz w:val="14"/>
          <w:szCs w:val="14"/>
        </w:rPr>
      </w:pPr>
    </w:p>
    <w:p w14:paraId="24FE755E" w14:textId="77777777" w:rsidR="001E2792" w:rsidRPr="001E2792" w:rsidRDefault="001E2792" w:rsidP="001E2792">
      <w:pPr>
        <w:pStyle w:val="Default"/>
        <w:ind w:left="284"/>
        <w:jc w:val="both"/>
        <w:rPr>
          <w:rFonts w:asciiTheme="minorHAnsi" w:hAnsiTheme="minorHAnsi" w:cstheme="minorHAnsi"/>
        </w:rPr>
      </w:pPr>
      <w:r w:rsidRPr="001E2792">
        <w:rPr>
          <w:rFonts w:asciiTheme="minorHAnsi" w:hAnsiTheme="minorHAnsi" w:cstheme="minorHAnsi"/>
        </w:rPr>
        <w:t xml:space="preserve">Incidents meeting the Never Events criteria and Deaths thought more likely than not due to problems in care (i.e., incidents meeting the Learning from Deaths criteria for PSII) will still require a locally led PSII. </w:t>
      </w:r>
    </w:p>
    <w:p w14:paraId="50E95124" w14:textId="77777777" w:rsidR="001E2792" w:rsidRPr="004B4884" w:rsidRDefault="001E2792" w:rsidP="001E2792">
      <w:pPr>
        <w:pStyle w:val="Default"/>
        <w:ind w:left="284"/>
        <w:jc w:val="both"/>
        <w:rPr>
          <w:sz w:val="14"/>
          <w:szCs w:val="14"/>
        </w:rPr>
      </w:pPr>
    </w:p>
    <w:p w14:paraId="21DAC28C" w14:textId="77777777" w:rsidR="001E2792" w:rsidRDefault="001E2792" w:rsidP="001E2792">
      <w:pPr>
        <w:ind w:left="284"/>
        <w:jc w:val="both"/>
        <w:rPr>
          <w:szCs w:val="24"/>
        </w:rPr>
      </w:pPr>
      <w:r w:rsidRPr="0074218F">
        <w:rPr>
          <w:szCs w:val="24"/>
        </w:rPr>
        <w:t xml:space="preserve">Table 1 </w:t>
      </w:r>
      <w:r>
        <w:rPr>
          <w:szCs w:val="24"/>
        </w:rPr>
        <w:t xml:space="preserve">below </w:t>
      </w:r>
      <w:r w:rsidRPr="0074218F">
        <w:rPr>
          <w:szCs w:val="24"/>
        </w:rPr>
        <w:t xml:space="preserve">sets out the local or national mandated responses. </w:t>
      </w:r>
      <w:r>
        <w:rPr>
          <w:szCs w:val="24"/>
        </w:rPr>
        <w:t>WWLFT</w:t>
      </w:r>
      <w:r w:rsidRPr="0074218F">
        <w:rPr>
          <w:szCs w:val="24"/>
        </w:rPr>
        <w:t xml:space="preserve"> does not directly provide mental health or custodial services it is </w:t>
      </w:r>
      <w:r>
        <w:rPr>
          <w:szCs w:val="24"/>
        </w:rPr>
        <w:t xml:space="preserve">therefore </w:t>
      </w:r>
      <w:r w:rsidRPr="0074218F">
        <w:rPr>
          <w:szCs w:val="24"/>
        </w:rPr>
        <w:t>likely that the organisation will be a secondary participant rather than a lead for those incident</w:t>
      </w:r>
      <w:r w:rsidR="0022630F">
        <w:rPr>
          <w:szCs w:val="24"/>
        </w:rPr>
        <w:t>s</w:t>
      </w:r>
      <w:r w:rsidRPr="0074218F">
        <w:rPr>
          <w:szCs w:val="24"/>
        </w:rPr>
        <w:t xml:space="preserve"> </w:t>
      </w:r>
      <w:r>
        <w:rPr>
          <w:szCs w:val="24"/>
        </w:rPr>
        <w:t xml:space="preserve">identified in </w:t>
      </w:r>
      <w:r w:rsidRPr="0074218F">
        <w:rPr>
          <w:szCs w:val="24"/>
        </w:rPr>
        <w:t>types</w:t>
      </w:r>
      <w:r>
        <w:rPr>
          <w:szCs w:val="24"/>
        </w:rPr>
        <w:t xml:space="preserve"> </w:t>
      </w:r>
      <w:r w:rsidRPr="0074218F">
        <w:rPr>
          <w:szCs w:val="24"/>
        </w:rPr>
        <w:t>6 to 11.</w:t>
      </w:r>
    </w:p>
    <w:p w14:paraId="606640FC" w14:textId="77777777" w:rsidR="001E2792" w:rsidRPr="004B4884" w:rsidRDefault="001E2792" w:rsidP="001E2792">
      <w:pPr>
        <w:jc w:val="both"/>
        <w:rPr>
          <w:sz w:val="16"/>
          <w:szCs w:val="16"/>
        </w:rPr>
      </w:pPr>
    </w:p>
    <w:p w14:paraId="4DD7F25E" w14:textId="77777777" w:rsidR="001E2792" w:rsidRPr="004B4884" w:rsidRDefault="001E2792" w:rsidP="001E2792">
      <w:pPr>
        <w:ind w:left="284"/>
        <w:jc w:val="both"/>
      </w:pPr>
      <w:bookmarkStart w:id="2" w:name="_Hlk139557891"/>
      <w:r w:rsidRPr="004B4884">
        <w:t>Table 1</w:t>
      </w:r>
      <w:r>
        <w:t>:</w:t>
      </w:r>
    </w:p>
    <w:bookmarkEnd w:id="2"/>
    <w:p w14:paraId="7079CC6C" w14:textId="77777777" w:rsidR="001E2792" w:rsidRPr="00FC75F0" w:rsidRDefault="001E2792" w:rsidP="001E2792">
      <w:pPr>
        <w:jc w:val="both"/>
        <w:rPr>
          <w:sz w:val="8"/>
          <w:szCs w:val="8"/>
        </w:rPr>
      </w:pPr>
    </w:p>
    <w:tbl>
      <w:tblPr>
        <w:tblW w:w="8739"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567"/>
        <w:gridCol w:w="3827"/>
        <w:gridCol w:w="4345"/>
      </w:tblGrid>
      <w:tr w:rsidR="001E2792" w14:paraId="6D7150B6" w14:textId="77777777" w:rsidTr="002B7D5F">
        <w:trPr>
          <w:trHeight w:val="397"/>
        </w:trPr>
        <w:tc>
          <w:tcPr>
            <w:tcW w:w="4394" w:type="dxa"/>
            <w:gridSpan w:val="2"/>
            <w:shd w:val="clear" w:color="auto" w:fill="0058B0"/>
            <w:vAlign w:val="center"/>
          </w:tcPr>
          <w:p w14:paraId="0BA447FE" w14:textId="77777777" w:rsidR="001E2792" w:rsidRPr="00F13C8D" w:rsidRDefault="001E2792" w:rsidP="002B7D5F">
            <w:pPr>
              <w:pStyle w:val="Default"/>
              <w:jc w:val="center"/>
              <w:rPr>
                <w:b/>
                <w:bCs w:val="0"/>
                <w:color w:val="FFFFFF" w:themeColor="background1"/>
                <w:sz w:val="22"/>
                <w:szCs w:val="22"/>
              </w:rPr>
            </w:pPr>
            <w:bookmarkStart w:id="3" w:name="_Hlk139557875"/>
            <w:r w:rsidRPr="00F13C8D">
              <w:rPr>
                <w:b/>
                <w:color w:val="FFFFFF" w:themeColor="background1"/>
                <w:sz w:val="22"/>
                <w:szCs w:val="22"/>
              </w:rPr>
              <w:t>National Priority</w:t>
            </w:r>
          </w:p>
        </w:tc>
        <w:tc>
          <w:tcPr>
            <w:tcW w:w="4345" w:type="dxa"/>
            <w:shd w:val="clear" w:color="auto" w:fill="0058B0"/>
            <w:vAlign w:val="center"/>
          </w:tcPr>
          <w:p w14:paraId="386A9F62" w14:textId="77777777" w:rsidR="001E2792" w:rsidRPr="00F13C8D" w:rsidRDefault="001E2792" w:rsidP="002B7D5F">
            <w:pPr>
              <w:pStyle w:val="Default"/>
              <w:jc w:val="center"/>
              <w:rPr>
                <w:b/>
                <w:bCs w:val="0"/>
                <w:color w:val="FFFFFF" w:themeColor="background1"/>
                <w:sz w:val="22"/>
                <w:szCs w:val="22"/>
              </w:rPr>
            </w:pPr>
            <w:r w:rsidRPr="00F13C8D">
              <w:rPr>
                <w:b/>
                <w:color w:val="FFFFFF" w:themeColor="background1"/>
                <w:sz w:val="22"/>
                <w:szCs w:val="22"/>
              </w:rPr>
              <w:t>Response</w:t>
            </w:r>
          </w:p>
        </w:tc>
      </w:tr>
      <w:tr w:rsidR="001E2792" w:rsidRPr="00DC4755" w14:paraId="564B8BE0" w14:textId="77777777" w:rsidTr="002B7D5F">
        <w:trPr>
          <w:trHeight w:val="388"/>
        </w:trPr>
        <w:tc>
          <w:tcPr>
            <w:tcW w:w="567" w:type="dxa"/>
            <w:shd w:val="clear" w:color="auto" w:fill="FFFFFF" w:themeFill="background1"/>
          </w:tcPr>
          <w:p w14:paraId="2F32355A"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1</w:t>
            </w:r>
          </w:p>
        </w:tc>
        <w:tc>
          <w:tcPr>
            <w:tcW w:w="3827" w:type="dxa"/>
          </w:tcPr>
          <w:p w14:paraId="34359271"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Incidents that meet the criteria set in the Never Events list 2018 </w:t>
            </w:r>
          </w:p>
        </w:tc>
        <w:tc>
          <w:tcPr>
            <w:tcW w:w="4345" w:type="dxa"/>
          </w:tcPr>
          <w:p w14:paraId="063FBD3D"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Locally led PSII by WWLFT </w:t>
            </w:r>
          </w:p>
        </w:tc>
      </w:tr>
      <w:tr w:rsidR="001E2792" w:rsidRPr="00DC4755" w14:paraId="04D81A20" w14:textId="77777777" w:rsidTr="002B7D5F">
        <w:trPr>
          <w:trHeight w:val="388"/>
        </w:trPr>
        <w:tc>
          <w:tcPr>
            <w:tcW w:w="567" w:type="dxa"/>
            <w:shd w:val="clear" w:color="auto" w:fill="FFFFFF" w:themeFill="background1"/>
          </w:tcPr>
          <w:p w14:paraId="2B41EB7D"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2</w:t>
            </w:r>
          </w:p>
        </w:tc>
        <w:tc>
          <w:tcPr>
            <w:tcW w:w="3827" w:type="dxa"/>
          </w:tcPr>
          <w:p w14:paraId="1AF3EF75"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Deaths clinically assessed as more likely than not due to problems in care </w:t>
            </w:r>
          </w:p>
        </w:tc>
        <w:tc>
          <w:tcPr>
            <w:tcW w:w="4345" w:type="dxa"/>
          </w:tcPr>
          <w:p w14:paraId="1B361534"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Locally led PSII by WWLFT</w:t>
            </w:r>
          </w:p>
        </w:tc>
      </w:tr>
      <w:tr w:rsidR="001E2792" w:rsidRPr="00DC4755" w14:paraId="242CB87C" w14:textId="77777777" w:rsidTr="002B7D5F">
        <w:trPr>
          <w:trHeight w:val="250"/>
        </w:trPr>
        <w:tc>
          <w:tcPr>
            <w:tcW w:w="567" w:type="dxa"/>
            <w:shd w:val="clear" w:color="auto" w:fill="FFFFFF" w:themeFill="background1"/>
          </w:tcPr>
          <w:p w14:paraId="716EF3DF"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3</w:t>
            </w:r>
          </w:p>
        </w:tc>
        <w:tc>
          <w:tcPr>
            <w:tcW w:w="3827" w:type="dxa"/>
          </w:tcPr>
          <w:p w14:paraId="488E9F55"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Maternity and neonatal incidents meeting HSIB criteria </w:t>
            </w:r>
          </w:p>
        </w:tc>
        <w:tc>
          <w:tcPr>
            <w:tcW w:w="4345" w:type="dxa"/>
          </w:tcPr>
          <w:p w14:paraId="22835A52"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Refer to HSIB for independent PSII </w:t>
            </w:r>
          </w:p>
        </w:tc>
      </w:tr>
      <w:tr w:rsidR="001E2792" w:rsidRPr="00DC4755" w14:paraId="58CA4C73" w14:textId="77777777" w:rsidTr="002B7D5F">
        <w:trPr>
          <w:trHeight w:val="748"/>
        </w:trPr>
        <w:tc>
          <w:tcPr>
            <w:tcW w:w="567" w:type="dxa"/>
            <w:shd w:val="clear" w:color="auto" w:fill="FFFFFF" w:themeFill="background1"/>
          </w:tcPr>
          <w:p w14:paraId="62AE2577"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4</w:t>
            </w:r>
          </w:p>
        </w:tc>
        <w:tc>
          <w:tcPr>
            <w:tcW w:w="3827" w:type="dxa"/>
          </w:tcPr>
          <w:p w14:paraId="4DE03DD1"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Child Deaths </w:t>
            </w:r>
          </w:p>
        </w:tc>
        <w:tc>
          <w:tcPr>
            <w:tcW w:w="4345" w:type="dxa"/>
          </w:tcPr>
          <w:p w14:paraId="2EB050DF"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Refer for Child Death Overview Panel review. </w:t>
            </w:r>
          </w:p>
          <w:p w14:paraId="3D1B3B9A"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Locally led PSII (or other response) may be required alongside the Panel review </w:t>
            </w:r>
          </w:p>
        </w:tc>
      </w:tr>
      <w:tr w:rsidR="001E2792" w:rsidRPr="00DC4755" w14:paraId="1F607D7C" w14:textId="77777777" w:rsidTr="002B7D5F">
        <w:trPr>
          <w:trHeight w:val="586"/>
        </w:trPr>
        <w:tc>
          <w:tcPr>
            <w:tcW w:w="567" w:type="dxa"/>
            <w:shd w:val="clear" w:color="auto" w:fill="FFFFFF" w:themeFill="background1"/>
          </w:tcPr>
          <w:p w14:paraId="63E3B8E2"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5</w:t>
            </w:r>
          </w:p>
        </w:tc>
        <w:tc>
          <w:tcPr>
            <w:tcW w:w="3827" w:type="dxa"/>
          </w:tcPr>
          <w:p w14:paraId="32389F87"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Deaths of Persons with Learning Disabilities </w:t>
            </w:r>
          </w:p>
        </w:tc>
        <w:tc>
          <w:tcPr>
            <w:tcW w:w="4345" w:type="dxa"/>
          </w:tcPr>
          <w:p w14:paraId="414CC753"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Refer for Learning Disability Mortality Review (LeDeR). </w:t>
            </w:r>
          </w:p>
          <w:p w14:paraId="3987875B"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Locally led PSII (or other response) may be required alongside the Panel review </w:t>
            </w:r>
          </w:p>
        </w:tc>
      </w:tr>
      <w:tr w:rsidR="001E2792" w:rsidRPr="00DC4755" w14:paraId="7B3BDB2D" w14:textId="77777777" w:rsidTr="002B7D5F">
        <w:trPr>
          <w:trHeight w:val="403"/>
        </w:trPr>
        <w:tc>
          <w:tcPr>
            <w:tcW w:w="567" w:type="dxa"/>
            <w:shd w:val="clear" w:color="auto" w:fill="FFFFFF" w:themeFill="background1"/>
          </w:tcPr>
          <w:p w14:paraId="53BAC634"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6</w:t>
            </w:r>
          </w:p>
        </w:tc>
        <w:tc>
          <w:tcPr>
            <w:tcW w:w="3827" w:type="dxa"/>
          </w:tcPr>
          <w:p w14:paraId="3F528FA8"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Safeguarding incidents in which:</w:t>
            </w:r>
          </w:p>
        </w:tc>
        <w:tc>
          <w:tcPr>
            <w:tcW w:w="4345" w:type="dxa"/>
          </w:tcPr>
          <w:p w14:paraId="5D5E06E8"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Safeguarding incidents in which:</w:t>
            </w:r>
          </w:p>
        </w:tc>
      </w:tr>
      <w:tr w:rsidR="001E2792" w:rsidRPr="00DC4755" w14:paraId="6935F010" w14:textId="77777777" w:rsidTr="002B7D5F">
        <w:trPr>
          <w:trHeight w:val="586"/>
        </w:trPr>
        <w:tc>
          <w:tcPr>
            <w:tcW w:w="567" w:type="dxa"/>
            <w:shd w:val="clear" w:color="auto" w:fill="FFFFFF" w:themeFill="background1"/>
          </w:tcPr>
          <w:p w14:paraId="425458F0"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7</w:t>
            </w:r>
          </w:p>
        </w:tc>
        <w:tc>
          <w:tcPr>
            <w:tcW w:w="3827" w:type="dxa"/>
          </w:tcPr>
          <w:p w14:paraId="38E4D850"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Babies, child and young people are on a child protection plan; looked after plan or a victim of wilful </w:t>
            </w:r>
            <w:r w:rsidRPr="00DC4755">
              <w:rPr>
                <w:rFonts w:asciiTheme="minorHAnsi" w:hAnsiTheme="minorHAnsi" w:cstheme="minorHAnsi"/>
              </w:rPr>
              <w:lastRenderedPageBreak/>
              <w:t>neglect or domestic abuse / violence.</w:t>
            </w:r>
          </w:p>
        </w:tc>
        <w:tc>
          <w:tcPr>
            <w:tcW w:w="4345" w:type="dxa"/>
          </w:tcPr>
          <w:p w14:paraId="3E4B48D5"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lastRenderedPageBreak/>
              <w:t>Babies, child and young people are on a child protection plan; looked after plan or a victim of wilful neglect or domestic abuse / violence.</w:t>
            </w:r>
          </w:p>
        </w:tc>
      </w:tr>
      <w:tr w:rsidR="001E2792" w:rsidRPr="00DC4755" w14:paraId="36AC7970" w14:textId="77777777" w:rsidTr="002B7D5F">
        <w:trPr>
          <w:trHeight w:val="354"/>
        </w:trPr>
        <w:tc>
          <w:tcPr>
            <w:tcW w:w="567" w:type="dxa"/>
            <w:shd w:val="clear" w:color="auto" w:fill="FFFFFF" w:themeFill="background1"/>
          </w:tcPr>
          <w:p w14:paraId="55478A1A"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8</w:t>
            </w:r>
          </w:p>
        </w:tc>
        <w:tc>
          <w:tcPr>
            <w:tcW w:w="3827" w:type="dxa"/>
          </w:tcPr>
          <w:p w14:paraId="3489DDB0"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Incidents in screening programmes</w:t>
            </w:r>
          </w:p>
        </w:tc>
        <w:tc>
          <w:tcPr>
            <w:tcW w:w="4345" w:type="dxa"/>
          </w:tcPr>
          <w:p w14:paraId="280A8567"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Incidents in screening programmes</w:t>
            </w:r>
          </w:p>
        </w:tc>
      </w:tr>
      <w:tr w:rsidR="001E2792" w:rsidRPr="00DC4755" w14:paraId="775E50F5" w14:textId="77777777" w:rsidTr="002B7D5F">
        <w:trPr>
          <w:trHeight w:val="586"/>
        </w:trPr>
        <w:tc>
          <w:tcPr>
            <w:tcW w:w="567" w:type="dxa"/>
            <w:shd w:val="clear" w:color="auto" w:fill="FFFFFF" w:themeFill="background1"/>
          </w:tcPr>
          <w:p w14:paraId="11BBA04C"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9</w:t>
            </w:r>
          </w:p>
        </w:tc>
        <w:tc>
          <w:tcPr>
            <w:tcW w:w="3827" w:type="dxa"/>
          </w:tcPr>
          <w:p w14:paraId="66013895"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Refer to local Screening Quality Assurance Service for consideration of locally led learning response.</w:t>
            </w:r>
          </w:p>
        </w:tc>
        <w:tc>
          <w:tcPr>
            <w:tcW w:w="4345" w:type="dxa"/>
          </w:tcPr>
          <w:p w14:paraId="57E49614"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Refer to local Screening Quality Assurance Service for consideration of locally led learning response.</w:t>
            </w:r>
          </w:p>
        </w:tc>
      </w:tr>
      <w:tr w:rsidR="001E2792" w:rsidRPr="00DC4755" w14:paraId="62C32C5A" w14:textId="77777777" w:rsidTr="002B7D5F">
        <w:trPr>
          <w:trHeight w:val="586"/>
        </w:trPr>
        <w:tc>
          <w:tcPr>
            <w:tcW w:w="567" w:type="dxa"/>
            <w:shd w:val="clear" w:color="auto" w:fill="FFFFFF" w:themeFill="background1"/>
          </w:tcPr>
          <w:p w14:paraId="7854C315"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10</w:t>
            </w:r>
          </w:p>
        </w:tc>
        <w:tc>
          <w:tcPr>
            <w:tcW w:w="3827" w:type="dxa"/>
          </w:tcPr>
          <w:p w14:paraId="66CCF509"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See: Guidance for managing incidents in NHS screening programmes</w:t>
            </w:r>
          </w:p>
        </w:tc>
        <w:tc>
          <w:tcPr>
            <w:tcW w:w="4345" w:type="dxa"/>
          </w:tcPr>
          <w:p w14:paraId="5FE15693"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See: Guidance for managing incidents in NHS screening programmes</w:t>
            </w:r>
          </w:p>
        </w:tc>
      </w:tr>
      <w:tr w:rsidR="001E2792" w:rsidRPr="00DC4755" w14:paraId="21E5FBE4" w14:textId="77777777" w:rsidTr="002B7D5F">
        <w:trPr>
          <w:trHeight w:val="586"/>
        </w:trPr>
        <w:tc>
          <w:tcPr>
            <w:tcW w:w="567" w:type="dxa"/>
            <w:shd w:val="clear" w:color="auto" w:fill="FFFFFF" w:themeFill="background1"/>
          </w:tcPr>
          <w:p w14:paraId="7489688F" w14:textId="77777777" w:rsidR="001E2792" w:rsidRPr="00DC4755" w:rsidRDefault="001E2792" w:rsidP="002B7D5F">
            <w:pPr>
              <w:pStyle w:val="Default"/>
              <w:ind w:left="-248" w:right="-526" w:hanging="248"/>
              <w:jc w:val="center"/>
              <w:rPr>
                <w:rFonts w:asciiTheme="minorHAnsi" w:hAnsiTheme="minorHAnsi" w:cstheme="minorHAnsi"/>
              </w:rPr>
            </w:pPr>
            <w:r w:rsidRPr="00DC4755">
              <w:rPr>
                <w:rFonts w:asciiTheme="minorHAnsi" w:hAnsiTheme="minorHAnsi" w:cstheme="minorHAnsi"/>
              </w:rPr>
              <w:t>11</w:t>
            </w:r>
          </w:p>
        </w:tc>
        <w:tc>
          <w:tcPr>
            <w:tcW w:w="3827" w:type="dxa"/>
          </w:tcPr>
          <w:p w14:paraId="567D3D6B"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Domestic Homicide</w:t>
            </w:r>
          </w:p>
        </w:tc>
        <w:tc>
          <w:tcPr>
            <w:tcW w:w="4345" w:type="dxa"/>
          </w:tcPr>
          <w:p w14:paraId="1DAA1B4C"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Domestic Homicide is identified by the police usually in partnership with the Community Safety Partnership (CSP) with whom the overall responsibility lies for establishing a review of the case. Where the CSP considers that the criteria for a Domestic Homicide Review (DHR) are met, they will utilise local contacts and request the establishment of a DHR Panel. The Domestic Violence, Crime and Victims Act 2004, sets out the statutory obligations and requirements of providers and commissioners of health services in relation to domestic homicide reviews.</w:t>
            </w:r>
          </w:p>
        </w:tc>
      </w:tr>
      <w:bookmarkEnd w:id="3"/>
    </w:tbl>
    <w:p w14:paraId="0EFD2609" w14:textId="77777777" w:rsidR="001E2792" w:rsidRPr="00DC4755" w:rsidRDefault="001E2792" w:rsidP="001E2792">
      <w:pPr>
        <w:pStyle w:val="Default"/>
        <w:tabs>
          <w:tab w:val="left" w:pos="284"/>
        </w:tabs>
        <w:ind w:left="284" w:hanging="568"/>
        <w:rPr>
          <w:rFonts w:asciiTheme="minorHAnsi" w:hAnsiTheme="minorHAnsi" w:cstheme="minorHAnsi"/>
          <w:color w:val="0058B0"/>
          <w:sz w:val="44"/>
          <w:szCs w:val="44"/>
        </w:rPr>
      </w:pPr>
    </w:p>
    <w:p w14:paraId="20A8D055" w14:textId="77777777" w:rsidR="00386D46" w:rsidRPr="00DC4755" w:rsidRDefault="00386D46" w:rsidP="001E2792">
      <w:pPr>
        <w:pStyle w:val="Default"/>
        <w:tabs>
          <w:tab w:val="left" w:pos="284"/>
        </w:tabs>
        <w:ind w:left="284" w:hanging="568"/>
        <w:rPr>
          <w:rFonts w:asciiTheme="minorHAnsi" w:hAnsiTheme="minorHAnsi" w:cstheme="minorHAnsi"/>
          <w:color w:val="0058B0"/>
          <w:sz w:val="44"/>
          <w:szCs w:val="44"/>
        </w:rPr>
      </w:pPr>
    </w:p>
    <w:p w14:paraId="074D150A" w14:textId="77777777" w:rsidR="001E2792" w:rsidRPr="00DC4755" w:rsidRDefault="001E2792" w:rsidP="001E2792">
      <w:pPr>
        <w:pStyle w:val="Default"/>
        <w:tabs>
          <w:tab w:val="left" w:pos="284"/>
        </w:tabs>
        <w:ind w:left="284" w:hanging="568"/>
        <w:rPr>
          <w:rFonts w:asciiTheme="minorHAnsi" w:hAnsiTheme="minorHAnsi" w:cstheme="minorHAnsi"/>
          <w:color w:val="0058B0"/>
          <w:sz w:val="44"/>
          <w:szCs w:val="44"/>
        </w:rPr>
      </w:pPr>
    </w:p>
    <w:p w14:paraId="332CD10A" w14:textId="77777777" w:rsidR="001E2792" w:rsidRPr="00DC4755" w:rsidRDefault="001E2792" w:rsidP="001E2792">
      <w:pPr>
        <w:pStyle w:val="Default"/>
        <w:tabs>
          <w:tab w:val="left" w:pos="284"/>
        </w:tabs>
        <w:ind w:left="284" w:hanging="568"/>
        <w:rPr>
          <w:rFonts w:asciiTheme="minorHAnsi" w:hAnsiTheme="minorHAnsi" w:cstheme="minorHAnsi"/>
          <w:color w:val="0058B0"/>
          <w:sz w:val="44"/>
          <w:szCs w:val="44"/>
        </w:rPr>
      </w:pPr>
    </w:p>
    <w:p w14:paraId="595C2D25" w14:textId="77777777" w:rsidR="001E2792" w:rsidRDefault="001E2792" w:rsidP="001E2792">
      <w:pPr>
        <w:pStyle w:val="Default"/>
        <w:tabs>
          <w:tab w:val="left" w:pos="284"/>
        </w:tabs>
        <w:ind w:left="284" w:hanging="568"/>
        <w:rPr>
          <w:color w:val="0058B0"/>
          <w:sz w:val="36"/>
          <w:szCs w:val="36"/>
        </w:rPr>
      </w:pPr>
    </w:p>
    <w:p w14:paraId="403CCD57" w14:textId="77777777" w:rsidR="001E2792" w:rsidRDefault="001E2792" w:rsidP="001E2792">
      <w:pPr>
        <w:pStyle w:val="Default"/>
        <w:tabs>
          <w:tab w:val="left" w:pos="284"/>
        </w:tabs>
        <w:ind w:left="284" w:hanging="568"/>
        <w:rPr>
          <w:color w:val="0058B0"/>
          <w:sz w:val="36"/>
          <w:szCs w:val="36"/>
        </w:rPr>
      </w:pPr>
    </w:p>
    <w:p w14:paraId="779E67D5" w14:textId="77777777" w:rsidR="001E2792" w:rsidRDefault="001E2792" w:rsidP="001E2792">
      <w:pPr>
        <w:pStyle w:val="Default"/>
        <w:tabs>
          <w:tab w:val="left" w:pos="284"/>
        </w:tabs>
        <w:ind w:left="284" w:hanging="568"/>
        <w:rPr>
          <w:color w:val="0058B0"/>
          <w:sz w:val="36"/>
          <w:szCs w:val="36"/>
        </w:rPr>
      </w:pPr>
    </w:p>
    <w:p w14:paraId="13023F6E" w14:textId="77777777" w:rsidR="001E2792" w:rsidRDefault="001E2792" w:rsidP="001E2792">
      <w:pPr>
        <w:pStyle w:val="Default"/>
        <w:tabs>
          <w:tab w:val="left" w:pos="284"/>
        </w:tabs>
        <w:ind w:left="284" w:hanging="568"/>
        <w:rPr>
          <w:color w:val="0058B0"/>
          <w:sz w:val="36"/>
          <w:szCs w:val="36"/>
        </w:rPr>
      </w:pPr>
    </w:p>
    <w:p w14:paraId="58482BE9" w14:textId="77777777" w:rsidR="001E2792" w:rsidRDefault="001E2792" w:rsidP="001E2792">
      <w:pPr>
        <w:pStyle w:val="Default"/>
        <w:tabs>
          <w:tab w:val="left" w:pos="284"/>
        </w:tabs>
        <w:ind w:left="284" w:hanging="568"/>
        <w:rPr>
          <w:color w:val="0058B0"/>
          <w:sz w:val="36"/>
          <w:szCs w:val="36"/>
        </w:rPr>
      </w:pPr>
    </w:p>
    <w:p w14:paraId="63C97863" w14:textId="77777777" w:rsidR="001E2792" w:rsidRDefault="001E2792" w:rsidP="001E2792">
      <w:pPr>
        <w:pStyle w:val="Default"/>
        <w:tabs>
          <w:tab w:val="left" w:pos="284"/>
        </w:tabs>
        <w:ind w:left="284" w:hanging="568"/>
        <w:rPr>
          <w:color w:val="0058B0"/>
          <w:sz w:val="36"/>
          <w:szCs w:val="36"/>
        </w:rPr>
      </w:pPr>
    </w:p>
    <w:p w14:paraId="431C59A3" w14:textId="77777777" w:rsidR="001E2792" w:rsidRDefault="001E2792" w:rsidP="001E2792">
      <w:pPr>
        <w:pStyle w:val="Default"/>
        <w:tabs>
          <w:tab w:val="left" w:pos="284"/>
        </w:tabs>
        <w:ind w:left="284" w:hanging="568"/>
        <w:rPr>
          <w:color w:val="0058B0"/>
          <w:sz w:val="36"/>
          <w:szCs w:val="36"/>
        </w:rPr>
      </w:pPr>
    </w:p>
    <w:p w14:paraId="31A79CBB" w14:textId="77777777" w:rsidR="001E2792" w:rsidRDefault="001E2792" w:rsidP="001E2792">
      <w:pPr>
        <w:pStyle w:val="Default"/>
        <w:tabs>
          <w:tab w:val="left" w:pos="284"/>
        </w:tabs>
        <w:ind w:left="284" w:hanging="568"/>
        <w:rPr>
          <w:color w:val="0058B0"/>
          <w:sz w:val="36"/>
          <w:szCs w:val="36"/>
        </w:rPr>
      </w:pPr>
    </w:p>
    <w:p w14:paraId="173E1020" w14:textId="77777777" w:rsidR="001E2792" w:rsidRDefault="001E2792" w:rsidP="001E2792">
      <w:pPr>
        <w:pStyle w:val="Default"/>
        <w:tabs>
          <w:tab w:val="left" w:pos="284"/>
        </w:tabs>
        <w:rPr>
          <w:color w:val="0058B0"/>
          <w:sz w:val="36"/>
          <w:szCs w:val="36"/>
        </w:rPr>
      </w:pPr>
    </w:p>
    <w:p w14:paraId="42FD6701" w14:textId="77777777" w:rsidR="001E2792" w:rsidRDefault="001E2792" w:rsidP="001E2792">
      <w:pPr>
        <w:pStyle w:val="Default"/>
        <w:tabs>
          <w:tab w:val="left" w:pos="284"/>
        </w:tabs>
        <w:rPr>
          <w:color w:val="0058B0"/>
          <w:sz w:val="36"/>
          <w:szCs w:val="36"/>
        </w:rPr>
      </w:pPr>
    </w:p>
    <w:p w14:paraId="0E6560DE" w14:textId="77777777" w:rsidR="001E2792" w:rsidRPr="00F07498" w:rsidRDefault="001E2792" w:rsidP="001E2792">
      <w:pPr>
        <w:pStyle w:val="Default"/>
        <w:tabs>
          <w:tab w:val="left" w:pos="284"/>
        </w:tabs>
        <w:ind w:left="284" w:hanging="568"/>
        <w:rPr>
          <w:rFonts w:asciiTheme="minorHAnsi" w:hAnsiTheme="minorHAnsi" w:cstheme="minorHAnsi"/>
          <w:color w:val="0058B0"/>
          <w:sz w:val="36"/>
          <w:szCs w:val="36"/>
        </w:rPr>
      </w:pPr>
      <w:r w:rsidRPr="00F07498">
        <w:rPr>
          <w:rFonts w:asciiTheme="minorHAnsi" w:hAnsiTheme="minorHAnsi" w:cstheme="minorHAnsi"/>
          <w:color w:val="0058B0"/>
          <w:sz w:val="36"/>
          <w:szCs w:val="36"/>
        </w:rPr>
        <w:lastRenderedPageBreak/>
        <w:t>6.</w:t>
      </w:r>
      <w:r w:rsidRPr="00F07498">
        <w:rPr>
          <w:rFonts w:asciiTheme="minorHAnsi" w:hAnsiTheme="minorHAnsi" w:cstheme="minorHAnsi"/>
          <w:color w:val="0058B0"/>
          <w:sz w:val="36"/>
          <w:szCs w:val="36"/>
        </w:rPr>
        <w:tab/>
        <w:t>Our patient safety incident response plan: local focus</w:t>
      </w:r>
    </w:p>
    <w:p w14:paraId="6241CD68" w14:textId="77777777" w:rsidR="001E2792" w:rsidRPr="004B4884" w:rsidRDefault="001E2792" w:rsidP="001E2792">
      <w:pPr>
        <w:pStyle w:val="Default"/>
        <w:rPr>
          <w:sz w:val="22"/>
          <w:szCs w:val="22"/>
        </w:rPr>
      </w:pPr>
    </w:p>
    <w:p w14:paraId="117207CB" w14:textId="77777777" w:rsidR="001E2792" w:rsidRDefault="001E2792" w:rsidP="001E2792">
      <w:pPr>
        <w:ind w:left="284"/>
        <w:jc w:val="both"/>
        <w:rPr>
          <w:szCs w:val="24"/>
        </w:rPr>
      </w:pPr>
      <w:r w:rsidRPr="004B4884">
        <w:rPr>
          <w:szCs w:val="24"/>
        </w:rPr>
        <w:t xml:space="preserve">WWLFT considers that </w:t>
      </w:r>
      <w:proofErr w:type="gramStart"/>
      <w:r w:rsidRPr="004B4884">
        <w:rPr>
          <w:szCs w:val="24"/>
        </w:rPr>
        <w:t>all of</w:t>
      </w:r>
      <w:proofErr w:type="gramEnd"/>
      <w:r w:rsidRPr="004B4884">
        <w:rPr>
          <w:szCs w:val="24"/>
        </w:rPr>
        <w:t xml:space="preserve"> the ten incident types set out in Table 2</w:t>
      </w:r>
      <w:r>
        <w:rPr>
          <w:szCs w:val="24"/>
        </w:rPr>
        <w:t xml:space="preserve"> below</w:t>
      </w:r>
      <w:r w:rsidRPr="004B4884">
        <w:rPr>
          <w:szCs w:val="24"/>
        </w:rPr>
        <w:t xml:space="preserve"> have relevance for all our inpatient services (including maternity) and all except two (items 2 and 7) have relevance for all our inpatient</w:t>
      </w:r>
      <w:r>
        <w:rPr>
          <w:szCs w:val="24"/>
        </w:rPr>
        <w:t xml:space="preserve"> and </w:t>
      </w:r>
      <w:r w:rsidRPr="004B4884">
        <w:rPr>
          <w:szCs w:val="24"/>
        </w:rPr>
        <w:t>community services. To this end this is an organisation wide PSIRP and there are no separate PSIRPs plans for individual services.</w:t>
      </w:r>
    </w:p>
    <w:p w14:paraId="5EA1B7A2" w14:textId="77777777" w:rsidR="001E2792" w:rsidRDefault="001E2792" w:rsidP="001E2792">
      <w:pPr>
        <w:ind w:left="284"/>
        <w:jc w:val="both"/>
      </w:pPr>
    </w:p>
    <w:p w14:paraId="7D0EA73A" w14:textId="77777777" w:rsidR="001E2792" w:rsidRDefault="001E2792" w:rsidP="001E2792">
      <w:pPr>
        <w:ind w:left="284"/>
        <w:jc w:val="both"/>
      </w:pPr>
      <w:r w:rsidRPr="004B4884">
        <w:t xml:space="preserve">Table </w:t>
      </w:r>
      <w:r>
        <w:t>2:</w:t>
      </w:r>
    </w:p>
    <w:p w14:paraId="3632530F" w14:textId="77777777" w:rsidR="001E2792" w:rsidRPr="004B4884" w:rsidRDefault="001E2792" w:rsidP="001E2792">
      <w:pPr>
        <w:ind w:left="284"/>
        <w:jc w:val="both"/>
        <w:rPr>
          <w:sz w:val="4"/>
          <w:szCs w:val="4"/>
        </w:rPr>
      </w:pPr>
    </w:p>
    <w:tbl>
      <w:tblPr>
        <w:tblW w:w="8739"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567"/>
        <w:gridCol w:w="2410"/>
        <w:gridCol w:w="3827"/>
        <w:gridCol w:w="1935"/>
      </w:tblGrid>
      <w:tr w:rsidR="001E2792" w14:paraId="2F0A5376" w14:textId="77777777" w:rsidTr="002B7D5F">
        <w:trPr>
          <w:trHeight w:val="397"/>
        </w:trPr>
        <w:tc>
          <w:tcPr>
            <w:tcW w:w="2977" w:type="dxa"/>
            <w:gridSpan w:val="2"/>
            <w:shd w:val="clear" w:color="auto" w:fill="0058B0"/>
            <w:vAlign w:val="center"/>
          </w:tcPr>
          <w:p w14:paraId="43A92B02" w14:textId="77777777" w:rsidR="001E2792" w:rsidRPr="005257C6" w:rsidRDefault="001E2792" w:rsidP="002B7D5F">
            <w:pPr>
              <w:pStyle w:val="Default"/>
              <w:jc w:val="center"/>
              <w:rPr>
                <w:b/>
                <w:bCs w:val="0"/>
                <w:color w:val="FFFFFF" w:themeColor="background1"/>
                <w:sz w:val="20"/>
                <w:szCs w:val="20"/>
              </w:rPr>
            </w:pPr>
            <w:r w:rsidRPr="005257C6">
              <w:rPr>
                <w:b/>
                <w:color w:val="FFFFFF" w:themeColor="background1"/>
                <w:sz w:val="20"/>
                <w:szCs w:val="20"/>
              </w:rPr>
              <w:t>Incident Type</w:t>
            </w:r>
          </w:p>
        </w:tc>
        <w:tc>
          <w:tcPr>
            <w:tcW w:w="3827" w:type="dxa"/>
            <w:shd w:val="clear" w:color="auto" w:fill="0058B0"/>
            <w:vAlign w:val="center"/>
          </w:tcPr>
          <w:p w14:paraId="4BE3CD48" w14:textId="77777777" w:rsidR="001E2792" w:rsidRPr="005257C6" w:rsidRDefault="001E2792" w:rsidP="002B7D5F">
            <w:pPr>
              <w:pStyle w:val="Default"/>
              <w:jc w:val="center"/>
              <w:rPr>
                <w:b/>
                <w:bCs w:val="0"/>
                <w:color w:val="FFFFFF" w:themeColor="background1"/>
                <w:sz w:val="20"/>
                <w:szCs w:val="20"/>
              </w:rPr>
            </w:pPr>
            <w:r w:rsidRPr="005257C6">
              <w:rPr>
                <w:b/>
                <w:color w:val="FFFFFF" w:themeColor="background1"/>
                <w:sz w:val="20"/>
                <w:szCs w:val="20"/>
              </w:rPr>
              <w:t>Description</w:t>
            </w:r>
          </w:p>
        </w:tc>
        <w:tc>
          <w:tcPr>
            <w:tcW w:w="1935" w:type="dxa"/>
            <w:shd w:val="clear" w:color="auto" w:fill="0058B0"/>
            <w:vAlign w:val="center"/>
          </w:tcPr>
          <w:p w14:paraId="7D473006" w14:textId="77777777" w:rsidR="001E2792" w:rsidRPr="005257C6" w:rsidRDefault="001E2792" w:rsidP="002B7D5F">
            <w:pPr>
              <w:pStyle w:val="Default"/>
              <w:jc w:val="center"/>
              <w:rPr>
                <w:b/>
                <w:bCs w:val="0"/>
                <w:color w:val="FFFFFF" w:themeColor="background1"/>
                <w:sz w:val="20"/>
                <w:szCs w:val="20"/>
              </w:rPr>
            </w:pPr>
            <w:r w:rsidRPr="005257C6">
              <w:rPr>
                <w:b/>
                <w:color w:val="FFFFFF" w:themeColor="background1"/>
                <w:sz w:val="20"/>
                <w:szCs w:val="20"/>
              </w:rPr>
              <w:t>Response Type</w:t>
            </w:r>
          </w:p>
        </w:tc>
      </w:tr>
      <w:tr w:rsidR="001E2792" w14:paraId="510C3BAF" w14:textId="77777777" w:rsidTr="002B7D5F">
        <w:trPr>
          <w:trHeight w:val="388"/>
        </w:trPr>
        <w:tc>
          <w:tcPr>
            <w:tcW w:w="567" w:type="dxa"/>
          </w:tcPr>
          <w:p w14:paraId="3A30A451" w14:textId="77777777" w:rsidR="001E2792" w:rsidRPr="00AB6F5B" w:rsidRDefault="001E2792" w:rsidP="002B7D5F">
            <w:pPr>
              <w:pStyle w:val="Default"/>
              <w:ind w:left="-244" w:right="-527" w:hanging="249"/>
              <w:jc w:val="center"/>
              <w:rPr>
                <w:rFonts w:asciiTheme="minorHAnsi" w:hAnsiTheme="minorHAnsi" w:cstheme="minorHAnsi"/>
              </w:rPr>
            </w:pPr>
            <w:r w:rsidRPr="00AB6F5B">
              <w:rPr>
                <w:rFonts w:asciiTheme="minorHAnsi" w:hAnsiTheme="minorHAnsi" w:cstheme="minorHAnsi"/>
              </w:rPr>
              <w:t>1</w:t>
            </w:r>
          </w:p>
        </w:tc>
        <w:tc>
          <w:tcPr>
            <w:tcW w:w="2410" w:type="dxa"/>
          </w:tcPr>
          <w:p w14:paraId="771C9815"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Suboptimal care of a deteriorating patient</w:t>
            </w:r>
          </w:p>
        </w:tc>
        <w:tc>
          <w:tcPr>
            <w:tcW w:w="3827" w:type="dxa"/>
          </w:tcPr>
          <w:p w14:paraId="1F03439C"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Failure to recognise, treat and escalate a deteriorating patient. Which has resulted in harm.</w:t>
            </w:r>
          </w:p>
          <w:p w14:paraId="5B457363" w14:textId="77777777" w:rsidR="001E2792" w:rsidRPr="00DC4755" w:rsidRDefault="001E2792" w:rsidP="002B7D5F">
            <w:pPr>
              <w:pStyle w:val="Default"/>
              <w:rPr>
                <w:rFonts w:asciiTheme="minorHAnsi" w:hAnsiTheme="minorHAnsi" w:cstheme="minorHAnsi"/>
              </w:rPr>
            </w:pPr>
          </w:p>
        </w:tc>
        <w:tc>
          <w:tcPr>
            <w:tcW w:w="1935" w:type="dxa"/>
          </w:tcPr>
          <w:p w14:paraId="12689441" w14:textId="77777777" w:rsidR="001E2792" w:rsidRPr="00DC4755" w:rsidRDefault="001E2792" w:rsidP="002B7D5F">
            <w:pPr>
              <w:pStyle w:val="Default"/>
              <w:jc w:val="center"/>
              <w:rPr>
                <w:rFonts w:asciiTheme="minorHAnsi" w:hAnsiTheme="minorHAnsi" w:cstheme="minorHAnsi"/>
              </w:rPr>
            </w:pPr>
            <w:r w:rsidRPr="00DC4755">
              <w:rPr>
                <w:rFonts w:asciiTheme="minorHAnsi" w:hAnsiTheme="minorHAnsi" w:cstheme="minorHAnsi"/>
              </w:rPr>
              <w:t>PSII</w:t>
            </w:r>
          </w:p>
        </w:tc>
      </w:tr>
      <w:tr w:rsidR="001E2792" w14:paraId="2C6EFF24" w14:textId="77777777" w:rsidTr="002B7D5F">
        <w:trPr>
          <w:trHeight w:val="388"/>
        </w:trPr>
        <w:tc>
          <w:tcPr>
            <w:tcW w:w="567" w:type="dxa"/>
          </w:tcPr>
          <w:p w14:paraId="5D5A79A5" w14:textId="77777777" w:rsidR="001E2792" w:rsidRPr="00AB6F5B" w:rsidRDefault="001E2792" w:rsidP="002B7D5F">
            <w:pPr>
              <w:pStyle w:val="Default"/>
              <w:ind w:left="-244" w:right="-527" w:hanging="249"/>
              <w:jc w:val="center"/>
              <w:rPr>
                <w:rFonts w:asciiTheme="minorHAnsi" w:hAnsiTheme="minorHAnsi" w:cstheme="minorHAnsi"/>
              </w:rPr>
            </w:pPr>
            <w:r w:rsidRPr="00AB6F5B">
              <w:rPr>
                <w:rFonts w:asciiTheme="minorHAnsi" w:hAnsiTheme="minorHAnsi" w:cstheme="minorHAnsi"/>
              </w:rPr>
              <w:t>2</w:t>
            </w:r>
          </w:p>
        </w:tc>
        <w:tc>
          <w:tcPr>
            <w:tcW w:w="2410" w:type="dxa"/>
          </w:tcPr>
          <w:p w14:paraId="72F99D4F"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Treatment delays</w:t>
            </w:r>
          </w:p>
        </w:tc>
        <w:tc>
          <w:tcPr>
            <w:tcW w:w="3827" w:type="dxa"/>
          </w:tcPr>
          <w:p w14:paraId="6D14CEE4"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Treatment delays that have resulted in harm due to significantly delayed appointments or where patient follow-up appointments are lost. </w:t>
            </w:r>
          </w:p>
        </w:tc>
        <w:tc>
          <w:tcPr>
            <w:tcW w:w="1935" w:type="dxa"/>
          </w:tcPr>
          <w:p w14:paraId="5251EFF2" w14:textId="77777777" w:rsidR="001E2792" w:rsidRPr="00DC4755" w:rsidRDefault="001E2792" w:rsidP="002B7D5F">
            <w:pPr>
              <w:pStyle w:val="Default"/>
              <w:jc w:val="center"/>
              <w:rPr>
                <w:rFonts w:asciiTheme="minorHAnsi" w:hAnsiTheme="minorHAnsi" w:cstheme="minorHAnsi"/>
              </w:rPr>
            </w:pPr>
            <w:r w:rsidRPr="00DC4755">
              <w:rPr>
                <w:rFonts w:asciiTheme="minorHAnsi" w:hAnsiTheme="minorHAnsi" w:cstheme="minorHAnsi"/>
              </w:rPr>
              <w:t>PSII</w:t>
            </w:r>
          </w:p>
        </w:tc>
      </w:tr>
      <w:tr w:rsidR="001E2792" w14:paraId="69BEC1B7" w14:textId="77777777" w:rsidTr="002B7D5F">
        <w:trPr>
          <w:trHeight w:val="580"/>
        </w:trPr>
        <w:tc>
          <w:tcPr>
            <w:tcW w:w="567" w:type="dxa"/>
          </w:tcPr>
          <w:p w14:paraId="393ED4F5" w14:textId="77777777" w:rsidR="001E2792" w:rsidRPr="00AB6F5B" w:rsidRDefault="001E2792" w:rsidP="002B7D5F">
            <w:pPr>
              <w:pStyle w:val="Default"/>
              <w:ind w:left="-244" w:right="-527" w:hanging="249"/>
              <w:jc w:val="center"/>
              <w:rPr>
                <w:rFonts w:asciiTheme="minorHAnsi" w:hAnsiTheme="minorHAnsi" w:cstheme="minorHAnsi"/>
              </w:rPr>
            </w:pPr>
            <w:r w:rsidRPr="00AB6F5B">
              <w:rPr>
                <w:rFonts w:asciiTheme="minorHAnsi" w:hAnsiTheme="minorHAnsi" w:cstheme="minorHAnsi"/>
              </w:rPr>
              <w:t>3</w:t>
            </w:r>
          </w:p>
        </w:tc>
        <w:tc>
          <w:tcPr>
            <w:tcW w:w="2410" w:type="dxa"/>
          </w:tcPr>
          <w:p w14:paraId="3A7C7C6B"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Diagnostic delays</w:t>
            </w:r>
          </w:p>
        </w:tc>
        <w:tc>
          <w:tcPr>
            <w:tcW w:w="3827" w:type="dxa"/>
          </w:tcPr>
          <w:p w14:paraId="54BDDE4D"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Delays in diagnosis resulting from a delay in review of investigation reports and results </w:t>
            </w:r>
          </w:p>
        </w:tc>
        <w:tc>
          <w:tcPr>
            <w:tcW w:w="1935" w:type="dxa"/>
          </w:tcPr>
          <w:p w14:paraId="13060A1D" w14:textId="77777777" w:rsidR="001E2792" w:rsidRPr="00DC4755" w:rsidRDefault="001E2792" w:rsidP="002B7D5F">
            <w:pPr>
              <w:pStyle w:val="Default"/>
              <w:jc w:val="center"/>
              <w:rPr>
                <w:rFonts w:asciiTheme="minorHAnsi" w:hAnsiTheme="minorHAnsi" w:cstheme="minorHAnsi"/>
              </w:rPr>
            </w:pPr>
            <w:r w:rsidRPr="00DC4755">
              <w:rPr>
                <w:rFonts w:asciiTheme="minorHAnsi" w:hAnsiTheme="minorHAnsi" w:cstheme="minorHAnsi"/>
              </w:rPr>
              <w:t>PSII</w:t>
            </w:r>
          </w:p>
        </w:tc>
      </w:tr>
      <w:tr w:rsidR="001E2792" w14:paraId="77E2076D" w14:textId="77777777" w:rsidTr="002B7D5F">
        <w:trPr>
          <w:trHeight w:val="560"/>
        </w:trPr>
        <w:tc>
          <w:tcPr>
            <w:tcW w:w="567" w:type="dxa"/>
          </w:tcPr>
          <w:p w14:paraId="561A78BF" w14:textId="77777777" w:rsidR="001E2792" w:rsidRPr="00AB6F5B" w:rsidRDefault="001E2792" w:rsidP="002B7D5F">
            <w:pPr>
              <w:pStyle w:val="Default"/>
              <w:ind w:left="-244" w:right="-527" w:hanging="249"/>
              <w:jc w:val="center"/>
              <w:rPr>
                <w:rFonts w:asciiTheme="minorHAnsi" w:hAnsiTheme="minorHAnsi" w:cstheme="minorHAnsi"/>
              </w:rPr>
            </w:pPr>
            <w:r w:rsidRPr="00AB6F5B">
              <w:rPr>
                <w:rFonts w:asciiTheme="minorHAnsi" w:hAnsiTheme="minorHAnsi" w:cstheme="minorHAnsi"/>
              </w:rPr>
              <w:t>4</w:t>
            </w:r>
          </w:p>
        </w:tc>
        <w:tc>
          <w:tcPr>
            <w:tcW w:w="2410" w:type="dxa"/>
          </w:tcPr>
          <w:p w14:paraId="50972D79"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Medication Incidents </w:t>
            </w:r>
          </w:p>
        </w:tc>
        <w:tc>
          <w:tcPr>
            <w:tcW w:w="3827" w:type="dxa"/>
          </w:tcPr>
          <w:p w14:paraId="52B85EFC"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 xml:space="preserve">Opioids management, Gentamycin/vancomycin, </w:t>
            </w:r>
          </w:p>
          <w:p w14:paraId="0620D632"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Extravasation</w:t>
            </w:r>
          </w:p>
          <w:p w14:paraId="34C5FE2D"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color w:val="auto"/>
              </w:rPr>
              <w:t xml:space="preserve">Diabetes medicines management, Thromboprophylaxis </w:t>
            </w:r>
          </w:p>
        </w:tc>
        <w:tc>
          <w:tcPr>
            <w:tcW w:w="1935" w:type="dxa"/>
          </w:tcPr>
          <w:p w14:paraId="2AB4DF2A" w14:textId="77777777" w:rsidR="001E2792" w:rsidRPr="00DC4755" w:rsidRDefault="001E2792" w:rsidP="002B7D5F">
            <w:pPr>
              <w:pStyle w:val="Default"/>
              <w:jc w:val="center"/>
              <w:rPr>
                <w:rFonts w:asciiTheme="minorHAnsi" w:hAnsiTheme="minorHAnsi" w:cstheme="minorHAnsi"/>
              </w:rPr>
            </w:pPr>
            <w:r w:rsidRPr="00DC4755">
              <w:rPr>
                <w:rFonts w:asciiTheme="minorHAnsi" w:hAnsiTheme="minorHAnsi" w:cstheme="minorHAnsi"/>
              </w:rPr>
              <w:t>PSII</w:t>
            </w:r>
          </w:p>
        </w:tc>
      </w:tr>
      <w:tr w:rsidR="001E2792" w14:paraId="419A1D6C" w14:textId="77777777" w:rsidTr="002B7D5F">
        <w:trPr>
          <w:trHeight w:val="586"/>
        </w:trPr>
        <w:tc>
          <w:tcPr>
            <w:tcW w:w="567" w:type="dxa"/>
          </w:tcPr>
          <w:p w14:paraId="3543D124" w14:textId="77777777" w:rsidR="001E2792" w:rsidRPr="00AB6F5B" w:rsidRDefault="001E2792" w:rsidP="002B7D5F">
            <w:pPr>
              <w:pStyle w:val="Default"/>
              <w:ind w:left="-244" w:right="-527" w:hanging="249"/>
              <w:jc w:val="center"/>
              <w:rPr>
                <w:rFonts w:asciiTheme="minorHAnsi" w:hAnsiTheme="minorHAnsi" w:cstheme="minorHAnsi"/>
              </w:rPr>
            </w:pPr>
            <w:r w:rsidRPr="00AB6F5B">
              <w:rPr>
                <w:rFonts w:asciiTheme="minorHAnsi" w:hAnsiTheme="minorHAnsi" w:cstheme="minorHAnsi"/>
              </w:rPr>
              <w:t>5</w:t>
            </w:r>
          </w:p>
        </w:tc>
        <w:tc>
          <w:tcPr>
            <w:tcW w:w="2410" w:type="dxa"/>
          </w:tcPr>
          <w:p w14:paraId="05BB2554"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Discharge Incidents </w:t>
            </w:r>
          </w:p>
        </w:tc>
        <w:tc>
          <w:tcPr>
            <w:tcW w:w="3827" w:type="dxa"/>
          </w:tcPr>
          <w:p w14:paraId="7793B36C" w14:textId="77777777" w:rsidR="001E2792" w:rsidRPr="00DC4755" w:rsidRDefault="001E2792" w:rsidP="002B7D5F">
            <w:pPr>
              <w:pStyle w:val="Default"/>
              <w:rPr>
                <w:rFonts w:asciiTheme="minorHAnsi" w:hAnsiTheme="minorHAnsi" w:cstheme="minorHAnsi"/>
                <w:color w:val="FF0000"/>
              </w:rPr>
            </w:pPr>
            <w:r w:rsidRPr="00DC4755">
              <w:rPr>
                <w:rFonts w:asciiTheme="minorHAnsi" w:hAnsiTheme="minorHAnsi" w:cstheme="minorHAnsi"/>
                <w:color w:val="auto"/>
              </w:rPr>
              <w:t>Harm resulted to a patient due to the incorrect decision making or omissions around a patient discharge.</w:t>
            </w:r>
            <w:r w:rsidRPr="00DC4755">
              <w:rPr>
                <w:rFonts w:asciiTheme="minorHAnsi" w:hAnsiTheme="minorHAnsi" w:cstheme="minorHAnsi"/>
                <w:color w:val="FF0000"/>
              </w:rPr>
              <w:t xml:space="preserve"> </w:t>
            </w:r>
          </w:p>
        </w:tc>
        <w:tc>
          <w:tcPr>
            <w:tcW w:w="1935" w:type="dxa"/>
          </w:tcPr>
          <w:p w14:paraId="78572101" w14:textId="77777777" w:rsidR="001E2792" w:rsidRPr="00DC4755" w:rsidRDefault="001E2792" w:rsidP="002B7D5F">
            <w:pPr>
              <w:pStyle w:val="Default"/>
              <w:jc w:val="center"/>
              <w:rPr>
                <w:rFonts w:asciiTheme="minorHAnsi" w:hAnsiTheme="minorHAnsi" w:cstheme="minorHAnsi"/>
              </w:rPr>
            </w:pPr>
            <w:r w:rsidRPr="00DC4755">
              <w:rPr>
                <w:rFonts w:asciiTheme="minorHAnsi" w:hAnsiTheme="minorHAnsi" w:cstheme="minorHAnsi"/>
              </w:rPr>
              <w:t>PSII</w:t>
            </w:r>
          </w:p>
        </w:tc>
      </w:tr>
      <w:tr w:rsidR="001E2792" w14:paraId="32DC07A6" w14:textId="77777777" w:rsidTr="002B7D5F">
        <w:trPr>
          <w:trHeight w:val="469"/>
        </w:trPr>
        <w:tc>
          <w:tcPr>
            <w:tcW w:w="567" w:type="dxa"/>
          </w:tcPr>
          <w:p w14:paraId="50678E07" w14:textId="77777777" w:rsidR="001E2792" w:rsidRPr="00AB6F5B" w:rsidRDefault="001E2792" w:rsidP="002B7D5F">
            <w:pPr>
              <w:pStyle w:val="Default"/>
              <w:ind w:left="-244" w:right="-527" w:hanging="249"/>
              <w:jc w:val="center"/>
              <w:rPr>
                <w:rFonts w:asciiTheme="minorHAnsi" w:hAnsiTheme="minorHAnsi" w:cstheme="minorHAnsi"/>
              </w:rPr>
            </w:pPr>
            <w:r>
              <w:rPr>
                <w:rFonts w:asciiTheme="minorHAnsi" w:hAnsiTheme="minorHAnsi" w:cstheme="minorHAnsi"/>
              </w:rPr>
              <w:t>6</w:t>
            </w:r>
          </w:p>
        </w:tc>
        <w:tc>
          <w:tcPr>
            <w:tcW w:w="2410" w:type="dxa"/>
          </w:tcPr>
          <w:p w14:paraId="2FC07B8F"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Pressure Ulcers </w:t>
            </w:r>
          </w:p>
        </w:tc>
        <w:tc>
          <w:tcPr>
            <w:tcW w:w="3827" w:type="dxa"/>
          </w:tcPr>
          <w:p w14:paraId="0650EEB3"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Pressure ulcers developed in our care category 2 - 4.</w:t>
            </w:r>
          </w:p>
        </w:tc>
        <w:tc>
          <w:tcPr>
            <w:tcW w:w="1935" w:type="dxa"/>
          </w:tcPr>
          <w:p w14:paraId="69E20305" w14:textId="77777777" w:rsidR="001E2792" w:rsidRPr="00DC4755" w:rsidRDefault="001E2792" w:rsidP="002B7D5F">
            <w:pPr>
              <w:pStyle w:val="Default"/>
              <w:jc w:val="center"/>
              <w:rPr>
                <w:rFonts w:asciiTheme="minorHAnsi" w:hAnsiTheme="minorHAnsi" w:cstheme="minorHAnsi"/>
                <w:color w:val="auto"/>
              </w:rPr>
            </w:pPr>
            <w:r w:rsidRPr="00DC4755">
              <w:rPr>
                <w:rFonts w:asciiTheme="minorHAnsi" w:hAnsiTheme="minorHAnsi" w:cstheme="minorHAnsi"/>
                <w:color w:val="auto"/>
              </w:rPr>
              <w:t>PSA (Cat 2&amp;3)</w:t>
            </w:r>
          </w:p>
          <w:p w14:paraId="1E9AC749" w14:textId="77777777" w:rsidR="001E2792" w:rsidRPr="00DC4755" w:rsidRDefault="001E2792" w:rsidP="002B7D5F">
            <w:pPr>
              <w:pStyle w:val="Default"/>
              <w:jc w:val="center"/>
              <w:rPr>
                <w:rFonts w:asciiTheme="minorHAnsi" w:hAnsiTheme="minorHAnsi" w:cstheme="minorHAnsi"/>
                <w:color w:val="auto"/>
              </w:rPr>
            </w:pPr>
            <w:r w:rsidRPr="00DC4755">
              <w:rPr>
                <w:rFonts w:asciiTheme="minorHAnsi" w:hAnsiTheme="minorHAnsi" w:cstheme="minorHAnsi"/>
                <w:color w:val="auto"/>
              </w:rPr>
              <w:t>AAR (Cat 4)</w:t>
            </w:r>
          </w:p>
        </w:tc>
      </w:tr>
      <w:tr w:rsidR="001E2792" w14:paraId="3239774D" w14:textId="77777777" w:rsidTr="002B7D5F">
        <w:trPr>
          <w:trHeight w:val="308"/>
        </w:trPr>
        <w:tc>
          <w:tcPr>
            <w:tcW w:w="567" w:type="dxa"/>
          </w:tcPr>
          <w:p w14:paraId="3E1E33C3" w14:textId="77777777" w:rsidR="001E2792" w:rsidRPr="00AB6F5B" w:rsidRDefault="001E2792" w:rsidP="002B7D5F">
            <w:pPr>
              <w:pStyle w:val="Default"/>
              <w:ind w:left="-244" w:right="-527" w:hanging="249"/>
              <w:jc w:val="center"/>
              <w:rPr>
                <w:rFonts w:asciiTheme="minorHAnsi" w:hAnsiTheme="minorHAnsi" w:cstheme="minorHAnsi"/>
              </w:rPr>
            </w:pPr>
            <w:r>
              <w:rPr>
                <w:rFonts w:asciiTheme="minorHAnsi" w:hAnsiTheme="minorHAnsi" w:cstheme="minorHAnsi"/>
              </w:rPr>
              <w:t>7</w:t>
            </w:r>
          </w:p>
        </w:tc>
        <w:tc>
          <w:tcPr>
            <w:tcW w:w="2410" w:type="dxa"/>
          </w:tcPr>
          <w:p w14:paraId="27B48C1E"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Falls </w:t>
            </w:r>
          </w:p>
        </w:tc>
        <w:tc>
          <w:tcPr>
            <w:tcW w:w="3827" w:type="dxa"/>
            <w:tcBorders>
              <w:top w:val="none" w:sz="6" w:space="0" w:color="auto"/>
              <w:bottom w:val="none" w:sz="6" w:space="0" w:color="auto"/>
            </w:tcBorders>
          </w:tcPr>
          <w:p w14:paraId="5470314A"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Inpatient falls resulting in a bone fracture or haemorrhage</w:t>
            </w:r>
          </w:p>
        </w:tc>
        <w:tc>
          <w:tcPr>
            <w:tcW w:w="1935" w:type="dxa"/>
          </w:tcPr>
          <w:p w14:paraId="6F1FCE47" w14:textId="77777777" w:rsidR="001E2792" w:rsidRPr="00DC4755" w:rsidRDefault="001E2792" w:rsidP="002B7D5F">
            <w:pPr>
              <w:pStyle w:val="Default"/>
              <w:jc w:val="center"/>
              <w:rPr>
                <w:rFonts w:asciiTheme="minorHAnsi" w:hAnsiTheme="minorHAnsi" w:cstheme="minorHAnsi"/>
                <w:color w:val="auto"/>
              </w:rPr>
            </w:pPr>
            <w:r w:rsidRPr="00DC4755">
              <w:rPr>
                <w:rFonts w:asciiTheme="minorHAnsi" w:hAnsiTheme="minorHAnsi" w:cstheme="minorHAnsi"/>
                <w:color w:val="auto"/>
              </w:rPr>
              <w:t>Debrief and AAR</w:t>
            </w:r>
          </w:p>
        </w:tc>
      </w:tr>
      <w:tr w:rsidR="001E2792" w14:paraId="14BA98D2" w14:textId="77777777" w:rsidTr="002B7D5F">
        <w:trPr>
          <w:trHeight w:val="586"/>
        </w:trPr>
        <w:tc>
          <w:tcPr>
            <w:tcW w:w="567" w:type="dxa"/>
          </w:tcPr>
          <w:p w14:paraId="61A2820A" w14:textId="77777777" w:rsidR="001E2792" w:rsidRPr="00AB6F5B" w:rsidRDefault="001E2792" w:rsidP="002B7D5F">
            <w:pPr>
              <w:pStyle w:val="Default"/>
              <w:ind w:left="-244" w:right="-527" w:hanging="249"/>
              <w:jc w:val="center"/>
              <w:rPr>
                <w:rFonts w:asciiTheme="minorHAnsi" w:hAnsiTheme="minorHAnsi" w:cstheme="minorHAnsi"/>
              </w:rPr>
            </w:pPr>
            <w:r>
              <w:rPr>
                <w:rFonts w:asciiTheme="minorHAnsi" w:hAnsiTheme="minorHAnsi" w:cstheme="minorHAnsi"/>
              </w:rPr>
              <w:t>8</w:t>
            </w:r>
          </w:p>
        </w:tc>
        <w:tc>
          <w:tcPr>
            <w:tcW w:w="2410" w:type="dxa"/>
          </w:tcPr>
          <w:p w14:paraId="326394E6"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Abuse/Alleged Abuse Staff Member to Patient </w:t>
            </w:r>
          </w:p>
        </w:tc>
        <w:tc>
          <w:tcPr>
            <w:tcW w:w="3827" w:type="dxa"/>
          </w:tcPr>
          <w:p w14:paraId="3153F82C" w14:textId="77777777" w:rsidR="001E2792" w:rsidRPr="00DC4755" w:rsidRDefault="001E2792" w:rsidP="002B7D5F">
            <w:pPr>
              <w:pStyle w:val="Default"/>
              <w:rPr>
                <w:rFonts w:asciiTheme="minorHAnsi" w:hAnsiTheme="minorHAnsi" w:cstheme="minorHAnsi"/>
                <w:color w:val="FF0000"/>
              </w:rPr>
            </w:pPr>
            <w:r w:rsidRPr="00DC4755">
              <w:rPr>
                <w:rFonts w:asciiTheme="minorHAnsi" w:hAnsiTheme="minorHAnsi" w:cstheme="minorHAnsi"/>
                <w:color w:val="auto"/>
              </w:rPr>
              <w:t xml:space="preserve">Alleged abuse of a patient by a member of staff working within WWL. </w:t>
            </w:r>
          </w:p>
        </w:tc>
        <w:tc>
          <w:tcPr>
            <w:tcW w:w="1935" w:type="dxa"/>
          </w:tcPr>
          <w:p w14:paraId="7D6487CC" w14:textId="77777777" w:rsidR="001E2792" w:rsidRPr="00DC4755" w:rsidRDefault="001E2792" w:rsidP="002B7D5F">
            <w:pPr>
              <w:pStyle w:val="Default"/>
              <w:jc w:val="center"/>
              <w:rPr>
                <w:rFonts w:asciiTheme="minorHAnsi" w:hAnsiTheme="minorHAnsi" w:cstheme="minorHAnsi"/>
                <w:color w:val="FF0000"/>
              </w:rPr>
            </w:pPr>
            <w:r w:rsidRPr="00DC4755">
              <w:rPr>
                <w:rFonts w:asciiTheme="minorHAnsi" w:hAnsiTheme="minorHAnsi" w:cstheme="minorHAnsi"/>
                <w:color w:val="auto"/>
              </w:rPr>
              <w:t>HR Investigation and/or Divisional PSR</w:t>
            </w:r>
          </w:p>
        </w:tc>
      </w:tr>
      <w:tr w:rsidR="001E2792" w14:paraId="64B260EB" w14:textId="77777777" w:rsidTr="002B7D5F">
        <w:trPr>
          <w:trHeight w:val="586"/>
        </w:trPr>
        <w:tc>
          <w:tcPr>
            <w:tcW w:w="567" w:type="dxa"/>
          </w:tcPr>
          <w:p w14:paraId="55855F91" w14:textId="77777777" w:rsidR="001E2792" w:rsidRPr="00AB6F5B" w:rsidRDefault="001E2792" w:rsidP="002B7D5F">
            <w:pPr>
              <w:pStyle w:val="Default"/>
              <w:ind w:left="-244" w:right="-527" w:hanging="249"/>
              <w:jc w:val="center"/>
              <w:rPr>
                <w:rFonts w:asciiTheme="minorHAnsi" w:hAnsiTheme="minorHAnsi" w:cstheme="minorHAnsi"/>
              </w:rPr>
            </w:pPr>
            <w:r>
              <w:rPr>
                <w:rFonts w:asciiTheme="minorHAnsi" w:hAnsiTheme="minorHAnsi" w:cstheme="minorHAnsi"/>
              </w:rPr>
              <w:t>9</w:t>
            </w:r>
          </w:p>
        </w:tc>
        <w:tc>
          <w:tcPr>
            <w:tcW w:w="2410" w:type="dxa"/>
          </w:tcPr>
          <w:p w14:paraId="78B02F1D"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 xml:space="preserve">Abscond/Missing Patient  </w:t>
            </w:r>
          </w:p>
        </w:tc>
        <w:tc>
          <w:tcPr>
            <w:tcW w:w="3827" w:type="dxa"/>
          </w:tcPr>
          <w:p w14:paraId="1A0C6BE4"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 xml:space="preserve">Harm of a patient following absconding incident, whilst receiving care at WWL </w:t>
            </w:r>
          </w:p>
        </w:tc>
        <w:tc>
          <w:tcPr>
            <w:tcW w:w="1935" w:type="dxa"/>
          </w:tcPr>
          <w:p w14:paraId="6993C325" w14:textId="77777777" w:rsidR="001E2792" w:rsidRPr="00DC4755" w:rsidRDefault="001E2792" w:rsidP="002B7D5F">
            <w:pPr>
              <w:pStyle w:val="Default"/>
              <w:jc w:val="center"/>
              <w:rPr>
                <w:rFonts w:asciiTheme="minorHAnsi" w:hAnsiTheme="minorHAnsi" w:cstheme="minorHAnsi"/>
                <w:color w:val="auto"/>
              </w:rPr>
            </w:pPr>
            <w:r w:rsidRPr="00DC4755">
              <w:rPr>
                <w:rFonts w:asciiTheme="minorHAnsi" w:hAnsiTheme="minorHAnsi" w:cstheme="minorHAnsi"/>
                <w:color w:val="auto"/>
              </w:rPr>
              <w:t xml:space="preserve">AAR or Thematic Analysis </w:t>
            </w:r>
          </w:p>
        </w:tc>
      </w:tr>
      <w:tr w:rsidR="001E2792" w14:paraId="06E887EB" w14:textId="77777777" w:rsidTr="002B7D5F">
        <w:trPr>
          <w:trHeight w:val="407"/>
        </w:trPr>
        <w:tc>
          <w:tcPr>
            <w:tcW w:w="567" w:type="dxa"/>
          </w:tcPr>
          <w:p w14:paraId="2A3D0897" w14:textId="77777777" w:rsidR="001E2792" w:rsidRPr="008213CF" w:rsidRDefault="001E2792" w:rsidP="002B7D5F">
            <w:pPr>
              <w:pStyle w:val="Default"/>
              <w:ind w:left="-244" w:right="-527" w:hanging="249"/>
              <w:jc w:val="center"/>
              <w:rPr>
                <w:rFonts w:asciiTheme="minorHAnsi" w:hAnsiTheme="minorHAnsi" w:cstheme="minorHAnsi"/>
                <w:color w:val="auto"/>
              </w:rPr>
            </w:pPr>
            <w:r w:rsidRPr="008213CF">
              <w:rPr>
                <w:rFonts w:asciiTheme="minorHAnsi" w:hAnsiTheme="minorHAnsi" w:cstheme="minorHAnsi"/>
                <w:color w:val="auto"/>
              </w:rPr>
              <w:t>10</w:t>
            </w:r>
          </w:p>
        </w:tc>
        <w:tc>
          <w:tcPr>
            <w:tcW w:w="2410" w:type="dxa"/>
          </w:tcPr>
          <w:p w14:paraId="027F4DF2"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Unexpected PSII</w:t>
            </w:r>
          </w:p>
        </w:tc>
        <w:tc>
          <w:tcPr>
            <w:tcW w:w="3827" w:type="dxa"/>
          </w:tcPr>
          <w:p w14:paraId="68DDDC28" w14:textId="77777777" w:rsidR="001E2792" w:rsidRPr="00DC4755" w:rsidRDefault="001E2792" w:rsidP="002B7D5F">
            <w:pPr>
              <w:pStyle w:val="Default"/>
              <w:rPr>
                <w:rFonts w:asciiTheme="minorHAnsi" w:hAnsiTheme="minorHAnsi" w:cstheme="minorHAnsi"/>
                <w:color w:val="auto"/>
              </w:rPr>
            </w:pPr>
            <w:r w:rsidRPr="00DC4755">
              <w:rPr>
                <w:rFonts w:asciiTheme="minorHAnsi" w:hAnsiTheme="minorHAnsi" w:cstheme="minorHAnsi"/>
                <w:color w:val="auto"/>
              </w:rPr>
              <w:t>Identified increase in incidence of subject of theme which has potential for harm</w:t>
            </w:r>
          </w:p>
        </w:tc>
        <w:tc>
          <w:tcPr>
            <w:tcW w:w="1935" w:type="dxa"/>
          </w:tcPr>
          <w:p w14:paraId="2253E0EC" w14:textId="77777777" w:rsidR="001E2792" w:rsidRPr="00DC4755" w:rsidRDefault="001E2792" w:rsidP="002B7D5F">
            <w:pPr>
              <w:pStyle w:val="Default"/>
              <w:jc w:val="center"/>
              <w:rPr>
                <w:rFonts w:asciiTheme="minorHAnsi" w:hAnsiTheme="minorHAnsi" w:cstheme="minorHAnsi"/>
                <w:color w:val="auto"/>
              </w:rPr>
            </w:pPr>
            <w:r w:rsidRPr="00DC4755">
              <w:rPr>
                <w:rFonts w:asciiTheme="minorHAnsi" w:hAnsiTheme="minorHAnsi" w:cstheme="minorHAnsi"/>
                <w:color w:val="auto"/>
              </w:rPr>
              <w:t>PSA Programme</w:t>
            </w:r>
          </w:p>
        </w:tc>
      </w:tr>
      <w:tr w:rsidR="001E2792" w14:paraId="3B1F6565" w14:textId="77777777" w:rsidTr="002B7D5F">
        <w:trPr>
          <w:trHeight w:val="586"/>
        </w:trPr>
        <w:tc>
          <w:tcPr>
            <w:tcW w:w="567" w:type="dxa"/>
          </w:tcPr>
          <w:p w14:paraId="21B2EF1B" w14:textId="77777777" w:rsidR="001E2792" w:rsidRPr="00AB6F5B" w:rsidRDefault="001E2792" w:rsidP="002B7D5F">
            <w:pPr>
              <w:pStyle w:val="Default"/>
              <w:ind w:left="-244" w:right="-527" w:hanging="249"/>
              <w:jc w:val="center"/>
              <w:rPr>
                <w:rFonts w:asciiTheme="minorHAnsi" w:hAnsiTheme="minorHAnsi" w:cstheme="minorHAnsi"/>
              </w:rPr>
            </w:pPr>
          </w:p>
        </w:tc>
        <w:tc>
          <w:tcPr>
            <w:tcW w:w="2410" w:type="dxa"/>
          </w:tcPr>
          <w:p w14:paraId="688BA324" w14:textId="77777777" w:rsidR="001E2792" w:rsidRPr="00DC4755" w:rsidRDefault="001E2792" w:rsidP="002B7D5F">
            <w:pPr>
              <w:pStyle w:val="Default"/>
              <w:rPr>
                <w:rFonts w:asciiTheme="minorHAnsi" w:hAnsiTheme="minorHAnsi" w:cstheme="minorHAnsi"/>
              </w:rPr>
            </w:pPr>
            <w:r w:rsidRPr="00DC4755">
              <w:rPr>
                <w:rFonts w:asciiTheme="minorHAnsi" w:hAnsiTheme="minorHAnsi" w:cstheme="minorHAnsi"/>
              </w:rPr>
              <w:t>Other</w:t>
            </w:r>
          </w:p>
          <w:p w14:paraId="4FFE8F18" w14:textId="77777777" w:rsidR="001E2792" w:rsidRPr="00DC4755" w:rsidRDefault="001E2792" w:rsidP="002B7D5F">
            <w:pPr>
              <w:pStyle w:val="Default"/>
              <w:rPr>
                <w:rFonts w:asciiTheme="minorHAnsi" w:hAnsiTheme="minorHAnsi" w:cstheme="minorHAnsi"/>
              </w:rPr>
            </w:pPr>
          </w:p>
        </w:tc>
        <w:tc>
          <w:tcPr>
            <w:tcW w:w="3827" w:type="dxa"/>
          </w:tcPr>
          <w:p w14:paraId="73C45E96" w14:textId="77777777" w:rsidR="001E2792" w:rsidRPr="00DC4755" w:rsidRDefault="001E2792" w:rsidP="002B7D5F">
            <w:pPr>
              <w:pStyle w:val="Default"/>
              <w:rPr>
                <w:rFonts w:asciiTheme="minorHAnsi" w:hAnsiTheme="minorHAnsi" w:cstheme="minorHAnsi"/>
                <w:color w:val="FF0000"/>
              </w:rPr>
            </w:pPr>
            <w:r w:rsidRPr="00DC4755">
              <w:rPr>
                <w:rFonts w:asciiTheme="minorHAnsi" w:hAnsiTheme="minorHAnsi" w:cstheme="minorHAnsi"/>
                <w:color w:val="auto"/>
              </w:rPr>
              <w:t>Patient safety incidents which meet criteria for harm or potential harm not included in the subjects above</w:t>
            </w:r>
          </w:p>
        </w:tc>
        <w:tc>
          <w:tcPr>
            <w:tcW w:w="1935" w:type="dxa"/>
          </w:tcPr>
          <w:p w14:paraId="4F6D9CA6" w14:textId="77777777" w:rsidR="001E2792" w:rsidRPr="00DC4755" w:rsidRDefault="001E2792" w:rsidP="002B7D5F">
            <w:pPr>
              <w:pStyle w:val="Default"/>
              <w:jc w:val="center"/>
              <w:rPr>
                <w:rFonts w:asciiTheme="minorHAnsi" w:hAnsiTheme="minorHAnsi" w:cstheme="minorHAnsi"/>
                <w:color w:val="FF0000"/>
              </w:rPr>
            </w:pPr>
            <w:r w:rsidRPr="00DC4755">
              <w:rPr>
                <w:rFonts w:asciiTheme="minorHAnsi" w:hAnsiTheme="minorHAnsi" w:cstheme="minorHAnsi"/>
                <w:color w:val="auto"/>
              </w:rPr>
              <w:t>See below</w:t>
            </w:r>
          </w:p>
        </w:tc>
      </w:tr>
    </w:tbl>
    <w:p w14:paraId="3E81AC68" w14:textId="77777777" w:rsidR="001E2792" w:rsidRPr="004B4884" w:rsidRDefault="001E2792" w:rsidP="001E2792">
      <w:pPr>
        <w:jc w:val="both"/>
        <w:rPr>
          <w:rFonts w:cs="Arial"/>
          <w:szCs w:val="24"/>
        </w:rPr>
      </w:pPr>
    </w:p>
    <w:p w14:paraId="0FBFEE05" w14:textId="77777777" w:rsidR="001E2792" w:rsidRDefault="001E2792" w:rsidP="001E2792">
      <w:pPr>
        <w:ind w:left="284"/>
        <w:jc w:val="both"/>
        <w:rPr>
          <w:rFonts w:eastAsiaTheme="majorEastAsia" w:cstheme="majorBidi"/>
          <w:szCs w:val="24"/>
        </w:rPr>
      </w:pPr>
      <w:r w:rsidRPr="004C60F6">
        <w:rPr>
          <w:rFonts w:eastAsiaTheme="majorEastAsia" w:cstheme="majorBidi"/>
          <w:szCs w:val="24"/>
        </w:rPr>
        <w:t xml:space="preserve">Where an incident does not fall into any of the categories 1 </w:t>
      </w:r>
      <w:r>
        <w:rPr>
          <w:rFonts w:eastAsiaTheme="majorEastAsia" w:cstheme="majorBidi"/>
          <w:szCs w:val="24"/>
        </w:rPr>
        <w:t>-</w:t>
      </w:r>
      <w:r w:rsidRPr="004C60F6">
        <w:rPr>
          <w:rFonts w:eastAsiaTheme="majorEastAsia" w:cstheme="majorBidi"/>
          <w:szCs w:val="24"/>
        </w:rPr>
        <w:t xml:space="preserve"> 10; an investigation and/or review method described in Annex </w:t>
      </w:r>
      <w:r>
        <w:rPr>
          <w:rFonts w:eastAsiaTheme="majorEastAsia" w:cstheme="majorBidi"/>
          <w:szCs w:val="24"/>
        </w:rPr>
        <w:t>1</w:t>
      </w:r>
      <w:r w:rsidRPr="004C60F6">
        <w:rPr>
          <w:rFonts w:eastAsiaTheme="majorEastAsia" w:cstheme="majorBidi"/>
          <w:szCs w:val="24"/>
        </w:rPr>
        <w:t xml:space="preserve"> may be used by the local team except PSII (which should not be undertaken by staff who have not received the specialist training required to undertake PSII).</w:t>
      </w:r>
    </w:p>
    <w:p w14:paraId="511B004B" w14:textId="77777777" w:rsidR="001E2792" w:rsidRPr="003D2648" w:rsidRDefault="001E2792" w:rsidP="001E2792">
      <w:pPr>
        <w:ind w:left="284"/>
        <w:jc w:val="both"/>
        <w:rPr>
          <w:rFonts w:eastAsiaTheme="majorEastAsia" w:cstheme="majorBidi"/>
          <w:sz w:val="16"/>
          <w:szCs w:val="16"/>
        </w:rPr>
      </w:pPr>
    </w:p>
    <w:p w14:paraId="13E72C38" w14:textId="77777777" w:rsidR="00DC4755" w:rsidRDefault="001E2792" w:rsidP="00DC4755">
      <w:pPr>
        <w:ind w:left="284"/>
        <w:jc w:val="both"/>
        <w:rPr>
          <w:rFonts w:eastAsiaTheme="majorEastAsia" w:cstheme="majorBidi"/>
          <w:b/>
          <w:szCs w:val="24"/>
        </w:rPr>
      </w:pPr>
      <w:r w:rsidRPr="00BF150F">
        <w:rPr>
          <w:rFonts w:eastAsiaTheme="majorEastAsia" w:cstheme="majorBidi"/>
          <w:szCs w:val="24"/>
        </w:rPr>
        <w:t>Local methods such as the national Perinatal Mortality Review Tool</w:t>
      </w:r>
      <w:r>
        <w:rPr>
          <w:rFonts w:eastAsiaTheme="majorEastAsia" w:cstheme="majorBidi"/>
          <w:szCs w:val="24"/>
        </w:rPr>
        <w:t xml:space="preserve"> </w:t>
      </w:r>
      <w:r w:rsidRPr="00BF150F">
        <w:rPr>
          <w:rFonts w:eastAsiaTheme="majorEastAsia" w:cstheme="majorBidi"/>
          <w:szCs w:val="24"/>
        </w:rPr>
        <w:t>(PMRT) and Structured Judgement Review</w:t>
      </w:r>
      <w:r>
        <w:rPr>
          <w:rFonts w:eastAsiaTheme="majorEastAsia" w:cstheme="majorBidi"/>
          <w:szCs w:val="24"/>
        </w:rPr>
        <w:t xml:space="preserve"> (</w:t>
      </w:r>
      <w:r w:rsidRPr="00BF150F">
        <w:rPr>
          <w:rFonts w:eastAsiaTheme="majorEastAsia" w:cstheme="majorBidi"/>
          <w:szCs w:val="24"/>
        </w:rPr>
        <w:t>SJR</w:t>
      </w:r>
      <w:r>
        <w:rPr>
          <w:rFonts w:eastAsiaTheme="majorEastAsia" w:cstheme="majorBidi"/>
          <w:szCs w:val="24"/>
        </w:rPr>
        <w:t>)</w:t>
      </w:r>
      <w:r w:rsidRPr="00BF150F">
        <w:rPr>
          <w:rFonts w:eastAsiaTheme="majorEastAsia" w:cstheme="majorBidi"/>
          <w:szCs w:val="24"/>
        </w:rPr>
        <w:t xml:space="preserve"> tools and/or structured local proformas may be used. The completion of a narrative response on the Datix incident module is also appropriate</w:t>
      </w:r>
      <w:r w:rsidRPr="00BF150F">
        <w:rPr>
          <w:rFonts w:eastAsiaTheme="majorEastAsia" w:cstheme="majorBidi"/>
          <w:b/>
          <w:szCs w:val="24"/>
        </w:rPr>
        <w:t>.</w:t>
      </w:r>
    </w:p>
    <w:p w14:paraId="26981432" w14:textId="77777777" w:rsidR="00DC4755" w:rsidRDefault="00DC4755" w:rsidP="00DC4755">
      <w:pPr>
        <w:ind w:left="284"/>
        <w:jc w:val="both"/>
        <w:rPr>
          <w:rFonts w:eastAsiaTheme="majorEastAsia" w:cstheme="majorBidi"/>
          <w:b/>
          <w:szCs w:val="24"/>
        </w:rPr>
      </w:pPr>
    </w:p>
    <w:p w14:paraId="08F4841D" w14:textId="77777777" w:rsidR="00B64D91" w:rsidRDefault="00B64D91" w:rsidP="00B64D91">
      <w:pPr>
        <w:pStyle w:val="Default"/>
        <w:ind w:left="284"/>
        <w:jc w:val="both"/>
        <w:rPr>
          <w:rFonts w:asciiTheme="minorHAnsi" w:hAnsiTheme="minorHAnsi" w:cstheme="minorHAnsi"/>
          <w:color w:val="0070C0"/>
        </w:rPr>
      </w:pPr>
      <w:r w:rsidRPr="00276262">
        <w:rPr>
          <w:rFonts w:asciiTheme="minorHAnsi" w:hAnsiTheme="minorHAnsi" w:cstheme="minorHAnsi"/>
          <w:color w:val="0070C0"/>
        </w:rPr>
        <w:t>PMRT - Criteria for review</w:t>
      </w:r>
    </w:p>
    <w:p w14:paraId="277CF3CD" w14:textId="77777777" w:rsidR="00B64D91" w:rsidRPr="00276262" w:rsidRDefault="00B64D91" w:rsidP="00B64D91">
      <w:pPr>
        <w:pStyle w:val="Default"/>
        <w:ind w:left="284"/>
        <w:jc w:val="both"/>
        <w:rPr>
          <w:rFonts w:asciiTheme="minorHAnsi" w:hAnsiTheme="minorHAnsi" w:cstheme="minorHAnsi"/>
          <w:color w:val="0070C0"/>
        </w:rPr>
      </w:pPr>
    </w:p>
    <w:p w14:paraId="7FA1B9D7" w14:textId="77777777" w:rsidR="00B64D91" w:rsidRDefault="00B64D91" w:rsidP="00B64D91">
      <w:pPr>
        <w:pStyle w:val="Default"/>
        <w:ind w:left="284"/>
        <w:jc w:val="both"/>
        <w:rPr>
          <w:rFonts w:asciiTheme="minorHAnsi" w:hAnsiTheme="minorHAnsi" w:cstheme="minorHAnsi"/>
        </w:rPr>
      </w:pPr>
      <w:r w:rsidRPr="00276262">
        <w:rPr>
          <w:rFonts w:ascii="Calibri" w:eastAsiaTheme="majorEastAsia" w:hAnsi="Calibri" w:cstheme="majorBidi"/>
        </w:rPr>
        <w:t>The PMRT has been designed to support the review of the care of the following babies:</w:t>
      </w:r>
      <w:r w:rsidRPr="00276262">
        <w:rPr>
          <w:rFonts w:asciiTheme="minorHAnsi" w:hAnsiTheme="minorHAnsi" w:cstheme="minorHAnsi"/>
        </w:rPr>
        <w:t xml:space="preserve"> </w:t>
      </w:r>
    </w:p>
    <w:p w14:paraId="7A635A0C" w14:textId="77777777" w:rsidR="00B64D91" w:rsidRDefault="00B64D91" w:rsidP="00B64D91">
      <w:pPr>
        <w:pStyle w:val="Default"/>
        <w:numPr>
          <w:ilvl w:val="0"/>
          <w:numId w:val="18"/>
        </w:numPr>
        <w:jc w:val="both"/>
        <w:rPr>
          <w:rFonts w:asciiTheme="minorHAnsi" w:hAnsiTheme="minorHAnsi" w:cstheme="minorHAnsi"/>
        </w:rPr>
      </w:pPr>
      <w:r w:rsidRPr="00FD1781">
        <w:rPr>
          <w:rFonts w:asciiTheme="minorHAnsi" w:hAnsiTheme="minorHAnsi" w:cstheme="minorHAnsi"/>
        </w:rPr>
        <w:t xml:space="preserve">Late </w:t>
      </w:r>
      <w:proofErr w:type="spellStart"/>
      <w:r w:rsidRPr="00FD1781">
        <w:rPr>
          <w:rFonts w:asciiTheme="minorHAnsi" w:hAnsiTheme="minorHAnsi" w:cstheme="minorHAnsi"/>
        </w:rPr>
        <w:t>fetal</w:t>
      </w:r>
      <w:proofErr w:type="spellEnd"/>
      <w:r w:rsidRPr="00FD1781">
        <w:rPr>
          <w:rFonts w:asciiTheme="minorHAnsi" w:hAnsiTheme="minorHAnsi" w:cstheme="minorHAnsi"/>
        </w:rPr>
        <w:t xml:space="preserve"> losses where the baby is born between 22+0 and 23+6 weeks of pregnancy showing no signs of life, irrespective of when the death occurred, or if the gestation is not known, where the baby is over 500g</w:t>
      </w:r>
    </w:p>
    <w:p w14:paraId="508282C2" w14:textId="77777777" w:rsidR="00B64D91" w:rsidRDefault="00B64D91" w:rsidP="00B64D91">
      <w:pPr>
        <w:pStyle w:val="Default"/>
        <w:numPr>
          <w:ilvl w:val="0"/>
          <w:numId w:val="18"/>
        </w:numPr>
        <w:jc w:val="both"/>
        <w:rPr>
          <w:rFonts w:asciiTheme="minorHAnsi" w:hAnsiTheme="minorHAnsi" w:cstheme="minorHAnsi"/>
        </w:rPr>
      </w:pPr>
      <w:r w:rsidRPr="00FD1781">
        <w:rPr>
          <w:rFonts w:asciiTheme="minorHAnsi" w:hAnsiTheme="minorHAnsi" w:cstheme="minorHAnsi"/>
        </w:rPr>
        <w:t>All stillbirths where the baby is born from 24+0 weeks gestation showing no signs of life, or if the gestation is not known, where the baby is over 500g</w:t>
      </w:r>
    </w:p>
    <w:p w14:paraId="39DF24D1" w14:textId="77777777" w:rsidR="00B64D91" w:rsidRDefault="00B64D91" w:rsidP="00B64D91">
      <w:pPr>
        <w:pStyle w:val="Default"/>
        <w:numPr>
          <w:ilvl w:val="0"/>
          <w:numId w:val="18"/>
        </w:numPr>
        <w:jc w:val="both"/>
        <w:rPr>
          <w:rFonts w:asciiTheme="minorHAnsi" w:hAnsiTheme="minorHAnsi" w:cstheme="minorHAnsi"/>
        </w:rPr>
      </w:pPr>
      <w:r w:rsidRPr="00FD1781">
        <w:rPr>
          <w:rFonts w:asciiTheme="minorHAnsi" w:hAnsiTheme="minorHAnsi" w:cstheme="minorHAnsi"/>
        </w:rPr>
        <w:t>All neonatal deaths where the baby is born alive from 22+0 but dies up to 28 days after birth, or if the gestation is not known, where the baby is over 500g</w:t>
      </w:r>
    </w:p>
    <w:p w14:paraId="409445AF" w14:textId="77777777" w:rsidR="00B64D91" w:rsidRPr="00FD1781" w:rsidRDefault="00B64D91" w:rsidP="00B64D91">
      <w:pPr>
        <w:pStyle w:val="ListParagraph"/>
        <w:numPr>
          <w:ilvl w:val="0"/>
          <w:numId w:val="18"/>
        </w:numPr>
        <w:rPr>
          <w:rFonts w:asciiTheme="minorHAnsi" w:hAnsiTheme="minorHAnsi" w:cstheme="minorHAnsi"/>
          <w:szCs w:val="24"/>
        </w:rPr>
      </w:pPr>
      <w:r w:rsidRPr="00FD1781">
        <w:rPr>
          <w:rFonts w:asciiTheme="minorHAnsi" w:hAnsiTheme="minorHAnsi" w:cstheme="minorHAnsi"/>
        </w:rPr>
        <w:t xml:space="preserve">It is suitable to review post-neonatal deaths where the baby is born alive from 22+0 but dies after 28 days following neonatal care; the baby may be receiving planned palliative care elsewhere (including at home) when they die. </w:t>
      </w:r>
      <w:r>
        <w:rPr>
          <w:rFonts w:asciiTheme="minorHAnsi" w:hAnsiTheme="minorHAnsi" w:cstheme="minorHAnsi"/>
        </w:rPr>
        <w:t>(</w:t>
      </w:r>
      <w:r>
        <w:rPr>
          <w:rFonts w:asciiTheme="minorHAnsi" w:hAnsiTheme="minorHAnsi" w:cstheme="minorHAnsi"/>
          <w:szCs w:val="24"/>
        </w:rPr>
        <w:t>T</w:t>
      </w:r>
      <w:r w:rsidRPr="00FD1781">
        <w:rPr>
          <w:rFonts w:asciiTheme="minorHAnsi" w:hAnsiTheme="minorHAnsi" w:cstheme="minorHAnsi"/>
          <w:szCs w:val="24"/>
        </w:rPr>
        <w:t xml:space="preserve">his is not currently a requirement of the </w:t>
      </w:r>
      <w:r>
        <w:rPr>
          <w:rFonts w:asciiTheme="minorHAnsi" w:hAnsiTheme="minorHAnsi" w:cstheme="minorHAnsi"/>
          <w:szCs w:val="24"/>
        </w:rPr>
        <w:t xml:space="preserve">CNST </w:t>
      </w:r>
      <w:r w:rsidRPr="00FD1781">
        <w:rPr>
          <w:rFonts w:asciiTheme="minorHAnsi" w:hAnsiTheme="minorHAnsi" w:cstheme="minorHAnsi"/>
          <w:szCs w:val="24"/>
        </w:rPr>
        <w:t xml:space="preserve">Maternity Incentive Scheme)  </w:t>
      </w:r>
    </w:p>
    <w:p w14:paraId="134229A9" w14:textId="77777777" w:rsidR="00B64D91" w:rsidRDefault="00B64D91" w:rsidP="00B64D91">
      <w:pPr>
        <w:pStyle w:val="Default"/>
        <w:ind w:left="284"/>
        <w:jc w:val="both"/>
        <w:rPr>
          <w:rFonts w:asciiTheme="minorHAnsi" w:hAnsiTheme="minorHAnsi" w:cstheme="minorHAnsi"/>
        </w:rPr>
      </w:pPr>
    </w:p>
    <w:p w14:paraId="6C44FF20" w14:textId="77777777" w:rsidR="00B64D91" w:rsidRDefault="00B64D91" w:rsidP="00B64D91">
      <w:pPr>
        <w:pStyle w:val="Default"/>
        <w:ind w:left="284"/>
        <w:jc w:val="both"/>
        <w:rPr>
          <w:rFonts w:asciiTheme="minorHAnsi" w:hAnsiTheme="minorHAnsi" w:cstheme="minorHAnsi"/>
        </w:rPr>
      </w:pPr>
      <w:r w:rsidRPr="00276262">
        <w:rPr>
          <w:rFonts w:asciiTheme="minorHAnsi" w:hAnsiTheme="minorHAnsi" w:cstheme="minorHAnsi"/>
        </w:rPr>
        <w:t xml:space="preserve">The PMRT is </w:t>
      </w:r>
      <w:r w:rsidRPr="00276262">
        <w:rPr>
          <w:rFonts w:asciiTheme="minorHAnsi" w:hAnsiTheme="minorHAnsi" w:cstheme="minorHAnsi"/>
          <w:b/>
          <w:bCs w:val="0"/>
        </w:rPr>
        <w:t>not</w:t>
      </w:r>
      <w:r w:rsidRPr="00276262">
        <w:rPr>
          <w:rFonts w:asciiTheme="minorHAnsi" w:hAnsiTheme="minorHAnsi" w:cstheme="minorHAnsi"/>
        </w:rPr>
        <w:t xml:space="preserve"> designed to support the review of the following perinatal deaths: </w:t>
      </w:r>
    </w:p>
    <w:p w14:paraId="2DFC5A73" w14:textId="77777777" w:rsidR="00B64D91" w:rsidRPr="00276262" w:rsidRDefault="00B64D91" w:rsidP="00B64D91">
      <w:pPr>
        <w:pStyle w:val="Default"/>
        <w:ind w:left="284"/>
        <w:jc w:val="both"/>
        <w:rPr>
          <w:rFonts w:asciiTheme="minorHAnsi" w:hAnsiTheme="minorHAnsi" w:cstheme="minorHAnsi"/>
          <w:sz w:val="10"/>
          <w:szCs w:val="10"/>
        </w:rPr>
      </w:pPr>
    </w:p>
    <w:p w14:paraId="4526AFF0" w14:textId="77777777" w:rsidR="00B64D91" w:rsidRPr="00276262" w:rsidRDefault="00B64D91" w:rsidP="00B64D91">
      <w:pPr>
        <w:pStyle w:val="Default"/>
        <w:numPr>
          <w:ilvl w:val="0"/>
          <w:numId w:val="17"/>
        </w:numPr>
        <w:jc w:val="both"/>
        <w:rPr>
          <w:rFonts w:asciiTheme="minorHAnsi" w:hAnsiTheme="minorHAnsi" w:cstheme="minorHAnsi"/>
        </w:rPr>
      </w:pPr>
      <w:r w:rsidRPr="00276262">
        <w:rPr>
          <w:rFonts w:asciiTheme="minorHAnsi" w:hAnsiTheme="minorHAnsi" w:cstheme="minorHAnsi"/>
        </w:rPr>
        <w:t>Termination of pregnancy at any gestation</w:t>
      </w:r>
    </w:p>
    <w:p w14:paraId="783872EF" w14:textId="77777777" w:rsidR="00B64D91" w:rsidRPr="00276262" w:rsidRDefault="00B64D91" w:rsidP="00B64D91">
      <w:pPr>
        <w:pStyle w:val="Default"/>
        <w:numPr>
          <w:ilvl w:val="0"/>
          <w:numId w:val="17"/>
        </w:numPr>
        <w:jc w:val="both"/>
        <w:rPr>
          <w:rFonts w:asciiTheme="minorHAnsi" w:hAnsiTheme="minorHAnsi" w:cstheme="minorHAnsi"/>
        </w:rPr>
      </w:pPr>
      <w:r w:rsidRPr="00276262">
        <w:rPr>
          <w:rFonts w:asciiTheme="minorHAnsi" w:hAnsiTheme="minorHAnsi" w:cstheme="minorHAnsi"/>
        </w:rPr>
        <w:t>Babies who die in the community 28 days after birth or later who have not received neonatal care</w:t>
      </w:r>
    </w:p>
    <w:p w14:paraId="289E387B" w14:textId="77777777" w:rsidR="00B64D91" w:rsidRDefault="00B64D91" w:rsidP="00B64D91">
      <w:pPr>
        <w:jc w:val="both"/>
        <w:rPr>
          <w:rFonts w:eastAsiaTheme="majorEastAsia" w:cstheme="majorBidi"/>
          <w:szCs w:val="24"/>
        </w:rPr>
      </w:pPr>
    </w:p>
    <w:p w14:paraId="58E991B0" w14:textId="77777777" w:rsidR="00B64D91" w:rsidRPr="00233896" w:rsidRDefault="00B64D91" w:rsidP="00B64D91">
      <w:pPr>
        <w:ind w:left="284"/>
        <w:jc w:val="both"/>
        <w:rPr>
          <w:rFonts w:eastAsiaTheme="majorEastAsia" w:cstheme="majorBidi"/>
          <w:szCs w:val="24"/>
        </w:rPr>
      </w:pPr>
      <w:r>
        <w:rPr>
          <w:rFonts w:eastAsiaTheme="majorEastAsia" w:cstheme="majorBidi"/>
          <w:szCs w:val="24"/>
        </w:rPr>
        <w:t xml:space="preserve">Any PMRT grading which indicates that there were care issues which may have or likely affected the death will be escalated to the Patient Safety Team. </w:t>
      </w:r>
      <w:r w:rsidRPr="00233896">
        <w:rPr>
          <w:rFonts w:eastAsiaTheme="majorEastAsia" w:cstheme="majorBidi"/>
          <w:szCs w:val="24"/>
        </w:rPr>
        <w:t xml:space="preserve">Where issues in care </w:t>
      </w:r>
    </w:p>
    <w:p w14:paraId="1386DFF6" w14:textId="77777777" w:rsidR="00B64D91" w:rsidRDefault="00B64D91" w:rsidP="00B64D91">
      <w:pPr>
        <w:ind w:left="284"/>
        <w:jc w:val="both"/>
        <w:rPr>
          <w:rFonts w:eastAsiaTheme="majorEastAsia" w:cstheme="majorBidi"/>
          <w:szCs w:val="24"/>
        </w:rPr>
      </w:pPr>
      <w:r w:rsidRPr="00233896">
        <w:rPr>
          <w:rFonts w:eastAsiaTheme="majorEastAsia" w:cstheme="majorBidi"/>
          <w:szCs w:val="24"/>
        </w:rPr>
        <w:t>have contributed to the outcome consider PSII led by the Trust</w:t>
      </w:r>
      <w:r>
        <w:rPr>
          <w:rFonts w:eastAsiaTheme="majorEastAsia" w:cstheme="majorBidi"/>
          <w:szCs w:val="24"/>
        </w:rPr>
        <w:t>.</w:t>
      </w:r>
    </w:p>
    <w:p w14:paraId="384A9DBC" w14:textId="77777777" w:rsidR="00B64D91" w:rsidRDefault="00B64D91" w:rsidP="00B64D91">
      <w:pPr>
        <w:ind w:left="284"/>
        <w:jc w:val="both"/>
        <w:rPr>
          <w:rFonts w:eastAsiaTheme="majorEastAsia" w:cstheme="majorBidi"/>
          <w:szCs w:val="24"/>
        </w:rPr>
      </w:pPr>
    </w:p>
    <w:p w14:paraId="21920612" w14:textId="77777777" w:rsidR="00B64D91" w:rsidRDefault="00B64D91" w:rsidP="00B64D91">
      <w:pPr>
        <w:ind w:left="284"/>
        <w:jc w:val="both"/>
        <w:rPr>
          <w:rFonts w:eastAsiaTheme="majorEastAsia" w:cstheme="majorBidi"/>
          <w:szCs w:val="24"/>
        </w:rPr>
      </w:pPr>
      <w:r w:rsidRPr="004B1662">
        <w:rPr>
          <w:rFonts w:eastAsiaTheme="majorEastAsia" w:cstheme="majorBidi"/>
          <w:szCs w:val="24"/>
        </w:rPr>
        <w:t xml:space="preserve">Organisations should report relevant safety events to MBRRACE-UK and the PMRT as set out in their respective reporting requirements.  </w:t>
      </w:r>
    </w:p>
    <w:p w14:paraId="11F840C0" w14:textId="77777777" w:rsidR="00B64D91" w:rsidRDefault="00B64D91" w:rsidP="00DC4755">
      <w:pPr>
        <w:ind w:left="284"/>
        <w:jc w:val="both"/>
        <w:rPr>
          <w:rFonts w:eastAsiaTheme="majorEastAsia" w:cstheme="majorBidi"/>
          <w:szCs w:val="24"/>
        </w:rPr>
      </w:pPr>
    </w:p>
    <w:p w14:paraId="477FB2A0" w14:textId="77777777" w:rsidR="00B64D91" w:rsidRPr="00DC4755" w:rsidRDefault="00B64D91" w:rsidP="00DC4755">
      <w:pPr>
        <w:ind w:left="284"/>
        <w:jc w:val="both"/>
        <w:rPr>
          <w:rFonts w:eastAsiaTheme="majorEastAsia" w:cstheme="majorBidi"/>
          <w:b/>
          <w:szCs w:val="24"/>
        </w:rPr>
      </w:pPr>
    </w:p>
    <w:p w14:paraId="74EC3835" w14:textId="77777777" w:rsidR="001E2792" w:rsidRDefault="001E2792" w:rsidP="001E2792">
      <w:pPr>
        <w:jc w:val="both"/>
        <w:rPr>
          <w:rFonts w:eastAsiaTheme="majorEastAsia" w:cstheme="majorBidi"/>
          <w:szCs w:val="24"/>
        </w:rPr>
      </w:pPr>
    </w:p>
    <w:p w14:paraId="25353FB8" w14:textId="77777777" w:rsidR="004F09D8" w:rsidRDefault="004F09D8" w:rsidP="001E2792">
      <w:pPr>
        <w:jc w:val="both"/>
        <w:rPr>
          <w:rFonts w:eastAsiaTheme="majorEastAsia" w:cstheme="majorBidi"/>
          <w:szCs w:val="24"/>
        </w:rPr>
      </w:pPr>
    </w:p>
    <w:p w14:paraId="06DA3011" w14:textId="77777777" w:rsidR="004F09D8" w:rsidRDefault="004F09D8" w:rsidP="001E2792">
      <w:pPr>
        <w:jc w:val="both"/>
        <w:rPr>
          <w:rFonts w:eastAsiaTheme="majorEastAsia" w:cstheme="majorBidi"/>
          <w:szCs w:val="24"/>
        </w:rPr>
      </w:pPr>
    </w:p>
    <w:p w14:paraId="3FD73E0C" w14:textId="77777777" w:rsidR="004F09D8" w:rsidRDefault="004F09D8" w:rsidP="001E2792">
      <w:pPr>
        <w:jc w:val="both"/>
        <w:rPr>
          <w:rFonts w:eastAsiaTheme="majorEastAsia" w:cstheme="majorBidi"/>
          <w:szCs w:val="24"/>
        </w:rPr>
      </w:pPr>
    </w:p>
    <w:p w14:paraId="3F741CB0" w14:textId="77777777" w:rsidR="004F09D8" w:rsidRDefault="004F09D8" w:rsidP="001E2792">
      <w:pPr>
        <w:jc w:val="both"/>
        <w:rPr>
          <w:rFonts w:eastAsiaTheme="majorEastAsia" w:cstheme="majorBidi"/>
          <w:szCs w:val="24"/>
        </w:rPr>
      </w:pPr>
    </w:p>
    <w:p w14:paraId="647D6CF8" w14:textId="77777777" w:rsidR="001E2792" w:rsidRPr="00F07498" w:rsidRDefault="001E2792" w:rsidP="001E2792">
      <w:pPr>
        <w:pStyle w:val="ListParagraph"/>
        <w:numPr>
          <w:ilvl w:val="0"/>
          <w:numId w:val="12"/>
        </w:numPr>
        <w:ind w:hanging="502"/>
        <w:jc w:val="both"/>
        <w:rPr>
          <w:rFonts w:eastAsia="Calibri" w:cs="Calibri"/>
          <w:bCs w:val="0"/>
          <w:color w:val="0058B0"/>
          <w:sz w:val="36"/>
          <w:szCs w:val="36"/>
        </w:rPr>
      </w:pPr>
      <w:r w:rsidRPr="00F07498">
        <w:rPr>
          <w:rFonts w:eastAsia="Calibri" w:cs="Calibri"/>
          <w:color w:val="0058B0"/>
          <w:sz w:val="36"/>
          <w:szCs w:val="36"/>
        </w:rPr>
        <w:t>Responding to patient safety incidents</w:t>
      </w:r>
    </w:p>
    <w:p w14:paraId="3ACA488D" w14:textId="77777777" w:rsidR="001E2792" w:rsidRPr="00F07498" w:rsidRDefault="001E2792" w:rsidP="001E2792">
      <w:pPr>
        <w:jc w:val="both"/>
        <w:rPr>
          <w:rFonts w:eastAsia="Calibri" w:cs="Calibri"/>
          <w:b/>
          <w:color w:val="0070C1"/>
        </w:rPr>
      </w:pPr>
    </w:p>
    <w:p w14:paraId="7D4E169F" w14:textId="77777777" w:rsidR="001E2792" w:rsidRPr="0031505F" w:rsidRDefault="001E2792" w:rsidP="001E2792">
      <w:pPr>
        <w:ind w:left="218"/>
        <w:jc w:val="both"/>
        <w:rPr>
          <w:rFonts w:cs="Arial"/>
        </w:rPr>
      </w:pPr>
      <w:r w:rsidRPr="0031505F">
        <w:rPr>
          <w:rFonts w:cs="Arial"/>
        </w:rPr>
        <w:t xml:space="preserve">Deciding what to investigate through a Patient Safety Incident Investigation (PSII) process will be a flexible approach. PSIIs are conducted for systems learning and safety improvement. This is achieved by identifying the circumstances surrounding incidents and the systems-focused, connected causal factors that may appear to be precursors to patient safety incidents. </w:t>
      </w:r>
    </w:p>
    <w:p w14:paraId="37C6C3F4" w14:textId="77777777" w:rsidR="001E2792" w:rsidRPr="0031505F" w:rsidRDefault="001E2792" w:rsidP="001E2792">
      <w:pPr>
        <w:jc w:val="both"/>
        <w:rPr>
          <w:rFonts w:cs="Arial"/>
        </w:rPr>
      </w:pPr>
    </w:p>
    <w:p w14:paraId="5F583A96" w14:textId="77777777" w:rsidR="001E2792" w:rsidRPr="0031505F" w:rsidRDefault="001E2792" w:rsidP="001E2792">
      <w:pPr>
        <w:ind w:left="218"/>
        <w:jc w:val="both"/>
        <w:rPr>
          <w:rFonts w:cs="Arial"/>
        </w:rPr>
      </w:pPr>
      <w:r w:rsidRPr="0031505F">
        <w:rPr>
          <w:rFonts w:cs="Arial"/>
        </w:rPr>
        <w:t xml:space="preserve">Existing structures will be utilised to support the process of decision making. There is an established weekly meeting chaired by the Medical Director, in which potential serious incidents and other emerging patient safety issues are discussed. This meeting is presently called the </w:t>
      </w:r>
      <w:r w:rsidRPr="00261C7E">
        <w:rPr>
          <w:rFonts w:cs="Arial"/>
        </w:rPr>
        <w:t xml:space="preserve">Executive Scrutiny Review Group (ESG) </w:t>
      </w:r>
      <w:r>
        <w:rPr>
          <w:rFonts w:cs="Arial"/>
        </w:rPr>
        <w:t>but will be rebranded as the Learning from Patient Safety Events Group (</w:t>
      </w:r>
      <w:proofErr w:type="spellStart"/>
      <w:r>
        <w:rPr>
          <w:rFonts w:cs="Arial"/>
        </w:rPr>
        <w:t>LfPSE</w:t>
      </w:r>
      <w:proofErr w:type="spellEnd"/>
      <w:r>
        <w:rPr>
          <w:rFonts w:cs="Arial"/>
        </w:rPr>
        <w:t>)</w:t>
      </w:r>
    </w:p>
    <w:p w14:paraId="56CC6941" w14:textId="77777777" w:rsidR="001E2792" w:rsidRPr="0031505F" w:rsidRDefault="001E2792" w:rsidP="001E2792">
      <w:pPr>
        <w:jc w:val="both"/>
        <w:rPr>
          <w:rFonts w:cs="Arial"/>
        </w:rPr>
      </w:pPr>
    </w:p>
    <w:p w14:paraId="7AEEB781" w14:textId="77777777" w:rsidR="001E2792" w:rsidRPr="0031505F" w:rsidRDefault="001E2792" w:rsidP="001E2792">
      <w:pPr>
        <w:ind w:left="218"/>
        <w:jc w:val="both"/>
        <w:rPr>
          <w:rFonts w:cs="Arial"/>
        </w:rPr>
      </w:pPr>
      <w:bookmarkStart w:id="4" w:name="_Hlk97244293"/>
      <w:r w:rsidRPr="0031505F">
        <w:rPr>
          <w:rFonts w:cs="Arial"/>
        </w:rPr>
        <w:t xml:space="preserve">During the transition into PSIRF, the Patient Safety </w:t>
      </w:r>
      <w:r>
        <w:rPr>
          <w:rFonts w:cs="Arial"/>
        </w:rPr>
        <w:t>T</w:t>
      </w:r>
      <w:r w:rsidRPr="0031505F">
        <w:rPr>
          <w:rFonts w:cs="Arial"/>
        </w:rPr>
        <w:t>eam will work closely with the Divisional Governance teams to review and identify incidents that may require a patient safety incident investigation</w:t>
      </w:r>
      <w:bookmarkStart w:id="5" w:name="_Hlk97244355"/>
      <w:r w:rsidRPr="0031505F">
        <w:rPr>
          <w:rFonts w:cs="Arial"/>
        </w:rPr>
        <w:t>.</w:t>
      </w:r>
      <w:bookmarkEnd w:id="4"/>
      <w:r w:rsidRPr="0031505F">
        <w:rPr>
          <w:rFonts w:cs="Arial"/>
        </w:rPr>
        <w:t xml:space="preserve"> In PSIRF, the approach of ≥severe harm will no longer apply, and we will be guided by the national and local patient safety priorities.</w:t>
      </w:r>
    </w:p>
    <w:bookmarkEnd w:id="5"/>
    <w:p w14:paraId="3302C859" w14:textId="77777777" w:rsidR="001E2792" w:rsidRPr="0031505F" w:rsidRDefault="001E2792" w:rsidP="001E2792">
      <w:pPr>
        <w:jc w:val="both"/>
        <w:rPr>
          <w:rFonts w:cs="Arial"/>
        </w:rPr>
      </w:pPr>
    </w:p>
    <w:p w14:paraId="0CCCDB2C" w14:textId="77777777" w:rsidR="001E2792" w:rsidRPr="0031505F" w:rsidRDefault="001E2792" w:rsidP="001E2792">
      <w:pPr>
        <w:ind w:left="215"/>
        <w:jc w:val="both"/>
        <w:rPr>
          <w:rFonts w:cs="Arial"/>
        </w:rPr>
      </w:pPr>
      <w:r w:rsidRPr="0031505F">
        <w:rPr>
          <w:rFonts w:cs="Arial"/>
        </w:rPr>
        <w:t xml:space="preserve">The process will be described in detail in associated policies, particularly in new policies that describe Patient Safety Incident Investigations, Patient Safety Incident Responses and involving patients in discussions about incidents, learning and improvement. These policies </w:t>
      </w:r>
      <w:r>
        <w:rPr>
          <w:rFonts w:cs="Arial"/>
        </w:rPr>
        <w:t xml:space="preserve">will </w:t>
      </w:r>
      <w:r w:rsidRPr="0031505F">
        <w:rPr>
          <w:rFonts w:cs="Arial"/>
        </w:rPr>
        <w:t>require development.</w:t>
      </w:r>
    </w:p>
    <w:p w14:paraId="2A00DC7C" w14:textId="77777777" w:rsidR="001E2792" w:rsidRPr="0031505F" w:rsidRDefault="001E2792" w:rsidP="001E2792">
      <w:pPr>
        <w:ind w:left="215"/>
        <w:jc w:val="both"/>
        <w:rPr>
          <w:rFonts w:cs="Arial"/>
        </w:rPr>
      </w:pPr>
    </w:p>
    <w:p w14:paraId="7E174F0B" w14:textId="77777777" w:rsidR="001E2792" w:rsidRPr="0031505F" w:rsidRDefault="001E2792" w:rsidP="001E2792">
      <w:pPr>
        <w:ind w:left="215"/>
        <w:jc w:val="both"/>
        <w:rPr>
          <w:rFonts w:cs="Arial"/>
        </w:rPr>
      </w:pPr>
      <w:r w:rsidRPr="0031505F">
        <w:rPr>
          <w:rFonts w:cs="Arial"/>
        </w:rPr>
        <w:t>C</w:t>
      </w:r>
      <w:r>
        <w:rPr>
          <w:rFonts w:cs="Arial"/>
        </w:rPr>
        <w:t>entral</w:t>
      </w:r>
      <w:r w:rsidRPr="0031505F">
        <w:rPr>
          <w:rFonts w:cs="Arial"/>
        </w:rPr>
        <w:t xml:space="preserve"> to deciding what to investigate was the situational analysis. The analysis identified </w:t>
      </w:r>
      <w:r>
        <w:rPr>
          <w:rFonts w:cs="Arial"/>
        </w:rPr>
        <w:t xml:space="preserve">the </w:t>
      </w:r>
      <w:r w:rsidRPr="0031505F">
        <w:rPr>
          <w:rFonts w:cs="Arial"/>
        </w:rPr>
        <w:t xml:space="preserve">five Patient Safety Priority incident categories that </w:t>
      </w:r>
      <w:r>
        <w:rPr>
          <w:rFonts w:cs="Arial"/>
        </w:rPr>
        <w:t xml:space="preserve">the </w:t>
      </w:r>
      <w:r w:rsidRPr="0031505F">
        <w:rPr>
          <w:rFonts w:cs="Arial"/>
        </w:rPr>
        <w:t>learning will be structured against over the first stage (2 years) of PSIR</w:t>
      </w:r>
      <w:r>
        <w:rPr>
          <w:rFonts w:cs="Arial"/>
        </w:rPr>
        <w:t>F</w:t>
      </w:r>
      <w:r w:rsidRPr="0031505F">
        <w:rPr>
          <w:rFonts w:cs="Arial"/>
        </w:rPr>
        <w:t>.</w:t>
      </w:r>
    </w:p>
    <w:p w14:paraId="5F405C92" w14:textId="77777777" w:rsidR="001E2792" w:rsidRPr="0031505F" w:rsidRDefault="001E2792" w:rsidP="001E2792">
      <w:pPr>
        <w:ind w:left="215"/>
        <w:jc w:val="both"/>
        <w:rPr>
          <w:rFonts w:cs="Arial"/>
        </w:rPr>
      </w:pPr>
    </w:p>
    <w:p w14:paraId="432C2561" w14:textId="77777777" w:rsidR="001E2792" w:rsidRPr="0031505F" w:rsidRDefault="001E2792" w:rsidP="001E2792">
      <w:pPr>
        <w:ind w:left="215"/>
        <w:jc w:val="both"/>
        <w:rPr>
          <w:rFonts w:cs="Arial"/>
        </w:rPr>
      </w:pPr>
      <w:bookmarkStart w:id="6" w:name="_Hlk97244413"/>
      <w:r w:rsidRPr="0031505F">
        <w:rPr>
          <w:rFonts w:cs="Arial"/>
        </w:rPr>
        <w:t xml:space="preserve">National guidance recommends that 3-6 investigations per priority are conducted per year. When combined with patient safety incident investigations from the national priorities this will likely result in 20-25 investigations per year. </w:t>
      </w:r>
      <w:bookmarkStart w:id="7" w:name="_Hlk97244460"/>
      <w:bookmarkEnd w:id="6"/>
      <w:r w:rsidRPr="0031505F">
        <w:rPr>
          <w:rFonts w:cs="Arial"/>
        </w:rPr>
        <w:t>Attempting to do more than this will impede our ability to adopt a systems-based learning approach from thematic analysis and learning from excellence.</w:t>
      </w:r>
      <w:bookmarkEnd w:id="7"/>
    </w:p>
    <w:p w14:paraId="0FA2DA00" w14:textId="77777777" w:rsidR="001E2792" w:rsidRPr="0031505F" w:rsidRDefault="001E2792" w:rsidP="001E2792">
      <w:pPr>
        <w:ind w:left="215"/>
        <w:jc w:val="both"/>
        <w:rPr>
          <w:rFonts w:cs="Arial"/>
        </w:rPr>
      </w:pPr>
    </w:p>
    <w:p w14:paraId="7591EAB8" w14:textId="77777777" w:rsidR="001E2792" w:rsidRPr="0031505F" w:rsidRDefault="001E2792" w:rsidP="001E2792">
      <w:pPr>
        <w:ind w:left="215"/>
        <w:jc w:val="both"/>
        <w:rPr>
          <w:rFonts w:cs="Arial"/>
        </w:rPr>
      </w:pPr>
      <w:bookmarkStart w:id="8" w:name="_Hlk97244491"/>
      <w:r w:rsidRPr="0031505F">
        <w:rPr>
          <w:rFonts w:cs="Arial"/>
        </w:rPr>
        <w:t>Patient safety incident</w:t>
      </w:r>
      <w:r>
        <w:rPr>
          <w:rFonts w:cs="Arial"/>
        </w:rPr>
        <w:t>s</w:t>
      </w:r>
      <w:r w:rsidRPr="0031505F">
        <w:rPr>
          <w:rFonts w:cs="Arial"/>
        </w:rPr>
        <w:t xml:space="preserve"> that must be investigated via PSIRF </w:t>
      </w:r>
      <w:r>
        <w:rPr>
          <w:rFonts w:cs="Arial"/>
        </w:rPr>
        <w:t>as detailed in table 1 above include</w:t>
      </w:r>
      <w:r w:rsidRPr="0031505F">
        <w:rPr>
          <w:rFonts w:cs="Arial"/>
        </w:rPr>
        <w:t>:</w:t>
      </w:r>
    </w:p>
    <w:p w14:paraId="79E681F0" w14:textId="77777777" w:rsidR="001E2792" w:rsidRPr="0031505F" w:rsidRDefault="001E2792" w:rsidP="001E2792">
      <w:pPr>
        <w:ind w:left="215"/>
        <w:jc w:val="both"/>
        <w:rPr>
          <w:rFonts w:cs="Arial"/>
          <w:sz w:val="14"/>
          <w:szCs w:val="14"/>
          <w:vertAlign w:val="superscript"/>
        </w:rPr>
      </w:pPr>
    </w:p>
    <w:p w14:paraId="1B13C003" w14:textId="77777777" w:rsidR="001E2792" w:rsidRDefault="001E2792" w:rsidP="001E2792">
      <w:pPr>
        <w:numPr>
          <w:ilvl w:val="0"/>
          <w:numId w:val="10"/>
        </w:numPr>
        <w:ind w:left="575"/>
        <w:contextualSpacing/>
        <w:jc w:val="both"/>
        <w:rPr>
          <w:rFonts w:cs="Arial"/>
        </w:rPr>
      </w:pPr>
      <w:r w:rsidRPr="0031505F">
        <w:rPr>
          <w:rFonts w:cs="Arial"/>
        </w:rPr>
        <w:t>Never Event</w:t>
      </w:r>
      <w:r>
        <w:rPr>
          <w:rFonts w:cs="Arial"/>
        </w:rPr>
        <w:t>s</w:t>
      </w:r>
    </w:p>
    <w:p w14:paraId="5FB9F540" w14:textId="77777777" w:rsidR="001E2792" w:rsidRPr="0031505F" w:rsidRDefault="001E2792" w:rsidP="001E2792">
      <w:pPr>
        <w:ind w:left="575"/>
        <w:contextualSpacing/>
        <w:jc w:val="both"/>
        <w:rPr>
          <w:rFonts w:cs="Arial"/>
          <w:sz w:val="8"/>
          <w:szCs w:val="8"/>
        </w:rPr>
      </w:pPr>
      <w:r w:rsidRPr="0031505F">
        <w:rPr>
          <w:rFonts w:cs="Arial"/>
        </w:rPr>
        <w:t xml:space="preserve"> </w:t>
      </w:r>
    </w:p>
    <w:p w14:paraId="7C0280FF" w14:textId="77777777" w:rsidR="001E2792" w:rsidRDefault="001E2792" w:rsidP="001E2792">
      <w:pPr>
        <w:numPr>
          <w:ilvl w:val="0"/>
          <w:numId w:val="10"/>
        </w:numPr>
        <w:ind w:left="575"/>
        <w:contextualSpacing/>
        <w:jc w:val="both"/>
        <w:rPr>
          <w:rFonts w:cs="Arial"/>
        </w:rPr>
      </w:pPr>
      <w:r w:rsidRPr="0031505F">
        <w:rPr>
          <w:rFonts w:cs="Arial"/>
        </w:rPr>
        <w:t>Deaths more likely than not due to problems in care. This will be identified through an incident and/or the learning from deaths process.</w:t>
      </w:r>
    </w:p>
    <w:p w14:paraId="071BB44C" w14:textId="77777777" w:rsidR="001E2792" w:rsidRPr="0031505F" w:rsidRDefault="001E2792" w:rsidP="001E2792">
      <w:pPr>
        <w:ind w:left="-145"/>
        <w:contextualSpacing/>
        <w:jc w:val="both"/>
        <w:rPr>
          <w:rFonts w:cs="Arial"/>
          <w:sz w:val="8"/>
          <w:szCs w:val="8"/>
        </w:rPr>
      </w:pPr>
    </w:p>
    <w:p w14:paraId="4CE06C40" w14:textId="77777777" w:rsidR="001E2792" w:rsidRPr="0031505F" w:rsidRDefault="001E2792" w:rsidP="001E2792">
      <w:pPr>
        <w:numPr>
          <w:ilvl w:val="0"/>
          <w:numId w:val="10"/>
        </w:numPr>
        <w:ind w:left="575"/>
        <w:contextualSpacing/>
        <w:jc w:val="both"/>
        <w:rPr>
          <w:rFonts w:cs="Arial"/>
        </w:rPr>
      </w:pPr>
      <w:r w:rsidRPr="0031505F">
        <w:rPr>
          <w:rFonts w:cs="Arial"/>
        </w:rPr>
        <w:t>National priorities for investigations</w:t>
      </w:r>
    </w:p>
    <w:bookmarkEnd w:id="8"/>
    <w:p w14:paraId="58A5A645" w14:textId="77777777" w:rsidR="001E2792" w:rsidRPr="0031505F" w:rsidRDefault="001E2792" w:rsidP="001E2792">
      <w:pPr>
        <w:jc w:val="both"/>
        <w:rPr>
          <w:rFonts w:cs="Arial"/>
          <w:sz w:val="14"/>
          <w:szCs w:val="14"/>
        </w:rPr>
      </w:pPr>
    </w:p>
    <w:p w14:paraId="65E888CB" w14:textId="77777777" w:rsidR="001E2792" w:rsidRPr="0031505F" w:rsidRDefault="001E2792" w:rsidP="001E2792">
      <w:pPr>
        <w:ind w:left="215"/>
        <w:jc w:val="both"/>
        <w:rPr>
          <w:rFonts w:cs="Arial"/>
        </w:rPr>
      </w:pPr>
      <w:bookmarkStart w:id="9" w:name="_Hlk97244570"/>
      <w:r w:rsidRPr="0031505F">
        <w:rPr>
          <w:rFonts w:cs="Arial"/>
        </w:rPr>
        <w:t xml:space="preserve">Apart from the ‘must investigate’ </w:t>
      </w:r>
      <w:bookmarkEnd w:id="9"/>
      <w:r w:rsidRPr="0031505F">
        <w:rPr>
          <w:rFonts w:cs="Arial"/>
        </w:rPr>
        <w:t xml:space="preserve">points, </w:t>
      </w:r>
      <w:bookmarkStart w:id="10" w:name="_Hlk97244606"/>
      <w:r w:rsidRPr="0031505F">
        <w:rPr>
          <w:rFonts w:cs="Arial"/>
        </w:rPr>
        <w:t>the decision to carry out a patient safety incident investigation should be based on the following:</w:t>
      </w:r>
    </w:p>
    <w:p w14:paraId="24D4CAE2" w14:textId="77777777" w:rsidR="001E2792" w:rsidRPr="0031505F" w:rsidRDefault="001E2792" w:rsidP="001E2792">
      <w:pPr>
        <w:jc w:val="both"/>
        <w:rPr>
          <w:rFonts w:cs="Arial"/>
          <w:sz w:val="14"/>
          <w:szCs w:val="14"/>
        </w:rPr>
      </w:pPr>
    </w:p>
    <w:p w14:paraId="1278129A" w14:textId="77777777" w:rsidR="001E2792" w:rsidRPr="0031505F" w:rsidRDefault="001E2792" w:rsidP="001E2792">
      <w:pPr>
        <w:numPr>
          <w:ilvl w:val="0"/>
          <w:numId w:val="10"/>
        </w:numPr>
        <w:ind w:left="575"/>
        <w:contextualSpacing/>
        <w:jc w:val="both"/>
        <w:rPr>
          <w:rFonts w:cs="Arial"/>
        </w:rPr>
      </w:pPr>
      <w:r w:rsidRPr="0031505F">
        <w:rPr>
          <w:rFonts w:cs="Arial"/>
        </w:rPr>
        <w:t xml:space="preserve">The patient safety incident is linked to one of the </w:t>
      </w:r>
      <w:r>
        <w:rPr>
          <w:rFonts w:cs="Arial"/>
        </w:rPr>
        <w:t xml:space="preserve">WWLFTs </w:t>
      </w:r>
      <w:r w:rsidRPr="0031505F">
        <w:rPr>
          <w:rFonts w:cs="Arial"/>
        </w:rPr>
        <w:t>Patient Safety Priorities agreed as part of the situational analysis</w:t>
      </w:r>
    </w:p>
    <w:p w14:paraId="236E50E6" w14:textId="77777777" w:rsidR="001E2792" w:rsidRPr="0031505F" w:rsidRDefault="001E2792" w:rsidP="001E2792">
      <w:pPr>
        <w:ind w:left="575" w:hanging="360"/>
        <w:contextualSpacing/>
        <w:jc w:val="both"/>
        <w:rPr>
          <w:rFonts w:cs="Arial"/>
          <w:sz w:val="8"/>
          <w:szCs w:val="8"/>
          <w:vertAlign w:val="subscript"/>
        </w:rPr>
      </w:pPr>
    </w:p>
    <w:p w14:paraId="5A224ECF" w14:textId="77777777" w:rsidR="001E2792" w:rsidRPr="0031505F" w:rsidRDefault="001E2792" w:rsidP="001E2792">
      <w:pPr>
        <w:numPr>
          <w:ilvl w:val="0"/>
          <w:numId w:val="10"/>
        </w:numPr>
        <w:ind w:left="575"/>
        <w:contextualSpacing/>
        <w:jc w:val="both"/>
        <w:rPr>
          <w:rFonts w:cs="Arial"/>
        </w:rPr>
      </w:pPr>
      <w:r w:rsidRPr="0031505F">
        <w:rPr>
          <w:rFonts w:cs="Arial"/>
        </w:rPr>
        <w:t>The patient safety incident is an emergent area of risk</w:t>
      </w:r>
      <w:r>
        <w:rPr>
          <w:rFonts w:cs="Arial"/>
        </w:rPr>
        <w:t>, f</w:t>
      </w:r>
      <w:r w:rsidRPr="0031505F">
        <w:rPr>
          <w:rFonts w:cs="Arial"/>
        </w:rPr>
        <w:t>or example, a cluster of patient safety incidents of a similar type or theme may indicate a new priority emerging. In this situation, a proactive investigation can be commenced, using a single or group of incidents as index cases.</w:t>
      </w:r>
    </w:p>
    <w:bookmarkEnd w:id="10"/>
    <w:p w14:paraId="7136516F" w14:textId="77777777" w:rsidR="001E2792" w:rsidRPr="0031505F" w:rsidRDefault="001E2792" w:rsidP="001E2792">
      <w:pPr>
        <w:ind w:left="720"/>
        <w:contextualSpacing/>
        <w:rPr>
          <w:rFonts w:cs="Arial"/>
        </w:rPr>
      </w:pPr>
    </w:p>
    <w:p w14:paraId="4BDF014A" w14:textId="77777777" w:rsidR="001E2792" w:rsidRPr="0031505F" w:rsidRDefault="001E2792" w:rsidP="001E2792">
      <w:pPr>
        <w:ind w:left="215"/>
        <w:jc w:val="both"/>
        <w:rPr>
          <w:rFonts w:cs="Arial"/>
          <w:lang w:val="en-US"/>
        </w:rPr>
      </w:pPr>
      <w:r w:rsidRPr="0031505F">
        <w:rPr>
          <w:rFonts w:cs="Arial"/>
        </w:rPr>
        <w:t xml:space="preserve">There is no remit in PSII to apportion blame or determine liability, preventability or cause of death. </w:t>
      </w:r>
      <w:r w:rsidRPr="0031505F">
        <w:rPr>
          <w:rFonts w:cs="Arial"/>
          <w:lang w:val="en-US"/>
        </w:rPr>
        <w:t>There are several other types of investigation which, unlike PSIIs, may be conducted for or around individuals. Examples include complaints, claims, human resource, professional regulation, coronial or criminal investigations. As the aims of each of these investigations differ, they need to continue to be conducted as separate entities to be effective in meeting their specific intended purposes.</w:t>
      </w:r>
    </w:p>
    <w:p w14:paraId="4541585D" w14:textId="77777777" w:rsidR="001E2792" w:rsidRPr="0031505F" w:rsidRDefault="001E2792" w:rsidP="001E2792">
      <w:pPr>
        <w:jc w:val="both"/>
        <w:rPr>
          <w:rFonts w:cs="Arial"/>
          <w:lang w:val="en-US"/>
        </w:rPr>
      </w:pPr>
    </w:p>
    <w:p w14:paraId="76E7B183" w14:textId="77777777" w:rsidR="001E2792" w:rsidRPr="0031505F" w:rsidRDefault="001E2792" w:rsidP="001E2792">
      <w:pPr>
        <w:ind w:left="215"/>
        <w:jc w:val="both"/>
        <w:rPr>
          <w:rFonts w:cs="Arial"/>
          <w:lang w:val="en-US"/>
        </w:rPr>
      </w:pPr>
      <w:bookmarkStart w:id="11" w:name="_Hlk97244702"/>
      <w:r w:rsidRPr="0031505F">
        <w:rPr>
          <w:rFonts w:cs="Arial"/>
          <w:color w:val="221F1F"/>
        </w:rPr>
        <w:t xml:space="preserve">All incidents will be reported in line with existing patient safety incident reporting guidance. </w:t>
      </w:r>
      <w:bookmarkEnd w:id="11"/>
      <w:r w:rsidRPr="0031505F">
        <w:rPr>
          <w:rFonts w:cs="Arial"/>
          <w:color w:val="221F1F"/>
        </w:rPr>
        <w:t>Any incident resulting in moderate harm or above will continue to be managed in accordance with Being Open and Duty of Candour. Any request for information about a patient safety incident</w:t>
      </w:r>
      <w:r>
        <w:rPr>
          <w:rFonts w:cs="Arial"/>
          <w:color w:val="221F1F"/>
        </w:rPr>
        <w:t xml:space="preserve">, </w:t>
      </w:r>
      <w:r w:rsidRPr="0031505F">
        <w:rPr>
          <w:rFonts w:cs="Arial"/>
          <w:color w:val="221F1F"/>
        </w:rPr>
        <w:t>by the patient, families and/or staff will be responded to openly</w:t>
      </w:r>
      <w:r>
        <w:rPr>
          <w:rFonts w:cs="Arial"/>
          <w:color w:val="221F1F"/>
        </w:rPr>
        <w:t>, professionally</w:t>
      </w:r>
      <w:r w:rsidRPr="0031505F">
        <w:rPr>
          <w:rFonts w:cs="Arial"/>
          <w:color w:val="221F1F"/>
        </w:rPr>
        <w:t xml:space="preserve"> and as much information as possible will be provided regardless of </w:t>
      </w:r>
      <w:r>
        <w:rPr>
          <w:rFonts w:cs="Arial"/>
          <w:color w:val="221F1F"/>
        </w:rPr>
        <w:t xml:space="preserve">the </w:t>
      </w:r>
      <w:r w:rsidRPr="0031505F">
        <w:rPr>
          <w:rFonts w:cs="Arial"/>
          <w:color w:val="221F1F"/>
        </w:rPr>
        <w:t>severity of outcome or the type of response required under this plan.</w:t>
      </w:r>
    </w:p>
    <w:p w14:paraId="3191E49A" w14:textId="77777777" w:rsidR="001E2792" w:rsidRPr="0031505F" w:rsidRDefault="001E2792" w:rsidP="001E2792">
      <w:pPr>
        <w:jc w:val="both"/>
        <w:rPr>
          <w:rFonts w:cs="Arial"/>
        </w:rPr>
      </w:pPr>
    </w:p>
    <w:p w14:paraId="44FBC515" w14:textId="77777777" w:rsidR="001E2792" w:rsidRDefault="001E2792" w:rsidP="001E2792">
      <w:pPr>
        <w:ind w:left="215"/>
        <w:jc w:val="both"/>
        <w:rPr>
          <w:rFonts w:eastAsiaTheme="majorEastAsia" w:cstheme="majorBidi"/>
          <w:szCs w:val="24"/>
        </w:rPr>
      </w:pPr>
      <w:r>
        <w:rPr>
          <w:rFonts w:eastAsiaTheme="majorEastAsia" w:cstheme="majorBidi"/>
          <w:szCs w:val="24"/>
        </w:rPr>
        <w:t xml:space="preserve">A </w:t>
      </w:r>
      <w:bookmarkStart w:id="12" w:name="_Hlk140067101"/>
      <w:r w:rsidRPr="0031505F">
        <w:rPr>
          <w:rFonts w:eastAsiaTheme="majorEastAsia" w:cstheme="majorBidi"/>
          <w:szCs w:val="24"/>
        </w:rPr>
        <w:t>Patient Safety Incident</w:t>
      </w:r>
      <w:r>
        <w:rPr>
          <w:rFonts w:eastAsiaTheme="majorEastAsia" w:cstheme="majorBidi"/>
          <w:szCs w:val="24"/>
        </w:rPr>
        <w:t xml:space="preserve"> Response Framework </w:t>
      </w:r>
      <w:bookmarkEnd w:id="12"/>
      <w:r>
        <w:rPr>
          <w:rFonts w:eastAsiaTheme="majorEastAsia" w:cstheme="majorBidi"/>
          <w:szCs w:val="24"/>
        </w:rPr>
        <w:t>has been included at Annex 2.</w:t>
      </w:r>
    </w:p>
    <w:p w14:paraId="09C48801" w14:textId="77777777" w:rsidR="001E2792" w:rsidRDefault="001E2792" w:rsidP="001E2792">
      <w:pPr>
        <w:ind w:left="284"/>
        <w:jc w:val="both"/>
        <w:rPr>
          <w:rFonts w:eastAsiaTheme="majorEastAsia" w:cstheme="majorBidi"/>
          <w:szCs w:val="24"/>
        </w:rPr>
      </w:pPr>
    </w:p>
    <w:p w14:paraId="53A24BE1" w14:textId="77777777" w:rsidR="001E2792" w:rsidRDefault="001E2792" w:rsidP="001E2792">
      <w:pPr>
        <w:ind w:left="284"/>
        <w:jc w:val="both"/>
        <w:rPr>
          <w:rFonts w:eastAsiaTheme="majorEastAsia" w:cstheme="majorBidi"/>
          <w:szCs w:val="24"/>
        </w:rPr>
      </w:pPr>
    </w:p>
    <w:p w14:paraId="1445D573" w14:textId="77777777" w:rsidR="001E2792" w:rsidRDefault="001E2792" w:rsidP="001E2792">
      <w:pPr>
        <w:ind w:left="284"/>
        <w:jc w:val="both"/>
        <w:rPr>
          <w:rFonts w:eastAsiaTheme="majorEastAsia" w:cstheme="majorBidi"/>
          <w:szCs w:val="24"/>
        </w:rPr>
      </w:pPr>
    </w:p>
    <w:p w14:paraId="561A6708" w14:textId="77777777" w:rsidR="001E2792" w:rsidRDefault="001E2792" w:rsidP="001E2792">
      <w:pPr>
        <w:ind w:left="284"/>
        <w:jc w:val="both"/>
        <w:rPr>
          <w:rFonts w:eastAsiaTheme="majorEastAsia" w:cstheme="majorBidi"/>
          <w:szCs w:val="24"/>
        </w:rPr>
      </w:pPr>
    </w:p>
    <w:p w14:paraId="4DEF77F8" w14:textId="77777777" w:rsidR="001E2792" w:rsidRDefault="001E2792" w:rsidP="001E2792">
      <w:pPr>
        <w:ind w:left="284"/>
        <w:jc w:val="both"/>
        <w:rPr>
          <w:rFonts w:eastAsiaTheme="majorEastAsia" w:cstheme="majorBidi"/>
          <w:szCs w:val="24"/>
        </w:rPr>
      </w:pPr>
    </w:p>
    <w:p w14:paraId="76DA4BAB" w14:textId="77777777" w:rsidR="001E2792" w:rsidRDefault="001E2792" w:rsidP="001E2792">
      <w:pPr>
        <w:ind w:left="284"/>
        <w:jc w:val="both"/>
        <w:rPr>
          <w:rFonts w:eastAsiaTheme="majorEastAsia" w:cstheme="majorBidi"/>
          <w:szCs w:val="24"/>
        </w:rPr>
      </w:pPr>
    </w:p>
    <w:p w14:paraId="2F95D283" w14:textId="77777777" w:rsidR="001E2792" w:rsidRDefault="001E2792" w:rsidP="001E2792">
      <w:pPr>
        <w:ind w:left="284"/>
        <w:jc w:val="both"/>
        <w:rPr>
          <w:rFonts w:eastAsiaTheme="majorEastAsia" w:cstheme="majorBidi"/>
          <w:szCs w:val="24"/>
        </w:rPr>
      </w:pPr>
    </w:p>
    <w:p w14:paraId="21B9BAF1" w14:textId="77777777" w:rsidR="001E2792" w:rsidRDefault="001E2792" w:rsidP="001E2792">
      <w:pPr>
        <w:ind w:left="284"/>
        <w:jc w:val="both"/>
        <w:rPr>
          <w:rFonts w:eastAsiaTheme="majorEastAsia" w:cstheme="majorBidi"/>
          <w:szCs w:val="24"/>
        </w:rPr>
      </w:pPr>
    </w:p>
    <w:p w14:paraId="6D4570BC" w14:textId="77777777" w:rsidR="001E2792" w:rsidRDefault="001E2792" w:rsidP="001E2792">
      <w:pPr>
        <w:ind w:left="284"/>
        <w:jc w:val="both"/>
        <w:rPr>
          <w:rFonts w:eastAsiaTheme="majorEastAsia" w:cstheme="majorBidi"/>
          <w:szCs w:val="24"/>
        </w:rPr>
      </w:pPr>
    </w:p>
    <w:p w14:paraId="1C02DD8D" w14:textId="77777777" w:rsidR="004F09D8" w:rsidRDefault="004F09D8" w:rsidP="001E2792">
      <w:pPr>
        <w:ind w:left="284"/>
        <w:jc w:val="both"/>
        <w:rPr>
          <w:rFonts w:eastAsiaTheme="majorEastAsia" w:cstheme="majorBidi"/>
          <w:szCs w:val="24"/>
        </w:rPr>
      </w:pPr>
    </w:p>
    <w:p w14:paraId="34FA2A70" w14:textId="77777777" w:rsidR="004F09D8" w:rsidRDefault="004F09D8" w:rsidP="001E2792">
      <w:pPr>
        <w:ind w:left="284"/>
        <w:jc w:val="both"/>
        <w:rPr>
          <w:rFonts w:eastAsiaTheme="majorEastAsia" w:cstheme="majorBidi"/>
          <w:szCs w:val="24"/>
        </w:rPr>
      </w:pPr>
    </w:p>
    <w:p w14:paraId="7C3AD7B6" w14:textId="77777777" w:rsidR="004F09D8" w:rsidRDefault="004F09D8" w:rsidP="001E2792">
      <w:pPr>
        <w:ind w:left="284"/>
        <w:jc w:val="both"/>
        <w:rPr>
          <w:rFonts w:eastAsiaTheme="majorEastAsia" w:cstheme="majorBidi"/>
          <w:szCs w:val="24"/>
        </w:rPr>
      </w:pPr>
    </w:p>
    <w:p w14:paraId="787256D4" w14:textId="77777777" w:rsidR="004F09D8" w:rsidRDefault="004F09D8" w:rsidP="001E2792">
      <w:pPr>
        <w:ind w:left="284"/>
        <w:jc w:val="both"/>
        <w:rPr>
          <w:rFonts w:eastAsiaTheme="majorEastAsia" w:cstheme="majorBidi"/>
          <w:szCs w:val="24"/>
        </w:rPr>
      </w:pPr>
    </w:p>
    <w:p w14:paraId="5579EAA4" w14:textId="77777777" w:rsidR="004F09D8" w:rsidRDefault="004F09D8" w:rsidP="001E2792">
      <w:pPr>
        <w:ind w:left="284"/>
        <w:jc w:val="both"/>
        <w:rPr>
          <w:rFonts w:eastAsiaTheme="majorEastAsia" w:cstheme="majorBidi"/>
          <w:szCs w:val="24"/>
        </w:rPr>
      </w:pPr>
    </w:p>
    <w:p w14:paraId="412B7782" w14:textId="77777777" w:rsidR="004F09D8" w:rsidRDefault="004F09D8" w:rsidP="001E2792">
      <w:pPr>
        <w:ind w:left="284"/>
        <w:jc w:val="both"/>
        <w:rPr>
          <w:rFonts w:eastAsiaTheme="majorEastAsia" w:cstheme="majorBidi"/>
          <w:szCs w:val="24"/>
        </w:rPr>
      </w:pPr>
    </w:p>
    <w:p w14:paraId="3B949F94" w14:textId="77777777" w:rsidR="004F09D8" w:rsidRDefault="004F09D8" w:rsidP="001E2792">
      <w:pPr>
        <w:ind w:left="284"/>
        <w:jc w:val="both"/>
        <w:rPr>
          <w:rFonts w:eastAsiaTheme="majorEastAsia" w:cstheme="majorBidi"/>
          <w:szCs w:val="24"/>
        </w:rPr>
      </w:pPr>
    </w:p>
    <w:p w14:paraId="4FBAB314" w14:textId="77777777" w:rsidR="004F09D8" w:rsidRDefault="004F09D8" w:rsidP="001E2792">
      <w:pPr>
        <w:ind w:left="284"/>
        <w:jc w:val="both"/>
        <w:rPr>
          <w:rFonts w:eastAsiaTheme="majorEastAsia" w:cstheme="majorBidi"/>
          <w:szCs w:val="24"/>
        </w:rPr>
      </w:pPr>
    </w:p>
    <w:p w14:paraId="4874D697" w14:textId="77777777" w:rsidR="004F09D8" w:rsidRDefault="004F09D8" w:rsidP="001E2792">
      <w:pPr>
        <w:ind w:left="284"/>
        <w:jc w:val="both"/>
        <w:rPr>
          <w:rFonts w:eastAsiaTheme="majorEastAsia" w:cstheme="majorBidi"/>
          <w:szCs w:val="24"/>
        </w:rPr>
      </w:pPr>
    </w:p>
    <w:p w14:paraId="45592DE8" w14:textId="77777777" w:rsidR="004F09D8" w:rsidRDefault="004F09D8" w:rsidP="001E2792">
      <w:pPr>
        <w:ind w:left="284"/>
        <w:jc w:val="both"/>
        <w:rPr>
          <w:rFonts w:eastAsiaTheme="majorEastAsia" w:cstheme="majorBidi"/>
          <w:szCs w:val="24"/>
        </w:rPr>
      </w:pPr>
    </w:p>
    <w:p w14:paraId="0942E8F6" w14:textId="77777777" w:rsidR="004F09D8" w:rsidRDefault="004F09D8" w:rsidP="001E2792">
      <w:pPr>
        <w:ind w:left="284"/>
        <w:jc w:val="both"/>
        <w:rPr>
          <w:rFonts w:eastAsiaTheme="majorEastAsia" w:cstheme="majorBidi"/>
          <w:szCs w:val="24"/>
        </w:rPr>
      </w:pPr>
    </w:p>
    <w:p w14:paraId="66EFEA60" w14:textId="77777777" w:rsidR="004F09D8" w:rsidRDefault="004F09D8" w:rsidP="001E2792">
      <w:pPr>
        <w:ind w:left="284"/>
        <w:jc w:val="both"/>
        <w:rPr>
          <w:rFonts w:eastAsiaTheme="majorEastAsia" w:cstheme="majorBidi"/>
          <w:szCs w:val="24"/>
        </w:rPr>
      </w:pPr>
    </w:p>
    <w:p w14:paraId="629E597B" w14:textId="77777777" w:rsidR="001E2792" w:rsidRDefault="001E2792" w:rsidP="00B64D91">
      <w:pPr>
        <w:jc w:val="both"/>
        <w:rPr>
          <w:rFonts w:eastAsiaTheme="majorEastAsia" w:cstheme="majorBidi"/>
          <w:szCs w:val="24"/>
        </w:rPr>
      </w:pPr>
    </w:p>
    <w:p w14:paraId="6FDBBD84" w14:textId="77777777" w:rsidR="001E2792" w:rsidRPr="0031505F" w:rsidRDefault="001E2792" w:rsidP="001E2792">
      <w:pPr>
        <w:jc w:val="both"/>
        <w:rPr>
          <w:rFonts w:ascii="Arial-BoldMT" w:eastAsia="Calibri" w:hAnsi="Arial-BoldMT" w:cs="Arial-BoldMT"/>
          <w:b/>
          <w:color w:val="0070C1"/>
          <w:sz w:val="8"/>
          <w:szCs w:val="8"/>
          <w:vertAlign w:val="superscript"/>
        </w:rPr>
      </w:pPr>
    </w:p>
    <w:p w14:paraId="5C025821" w14:textId="77777777" w:rsidR="001E2792" w:rsidRPr="005257C6" w:rsidRDefault="001E2792" w:rsidP="001E2792">
      <w:pPr>
        <w:pStyle w:val="ListParagraph"/>
        <w:numPr>
          <w:ilvl w:val="0"/>
          <w:numId w:val="12"/>
        </w:numPr>
        <w:ind w:hanging="502"/>
        <w:jc w:val="both"/>
        <w:rPr>
          <w:rFonts w:eastAsia="Calibri" w:cs="Arial"/>
          <w:bCs w:val="0"/>
          <w:color w:val="0058B0"/>
          <w:sz w:val="36"/>
          <w:szCs w:val="36"/>
        </w:rPr>
      </w:pPr>
      <w:bookmarkStart w:id="13" w:name="_Hlk140071223"/>
      <w:r w:rsidRPr="005257C6">
        <w:rPr>
          <w:rFonts w:eastAsia="Calibri" w:cs="Arial"/>
          <w:color w:val="0058B0"/>
          <w:sz w:val="36"/>
          <w:szCs w:val="36"/>
        </w:rPr>
        <w:lastRenderedPageBreak/>
        <w:t xml:space="preserve">Completing </w:t>
      </w:r>
      <w:bookmarkStart w:id="14" w:name="_Hlk140068500"/>
      <w:r w:rsidRPr="005257C6">
        <w:rPr>
          <w:rFonts w:eastAsia="Calibri" w:cs="Arial"/>
          <w:color w:val="0058B0"/>
          <w:sz w:val="36"/>
          <w:szCs w:val="36"/>
        </w:rPr>
        <w:t>Patient Safety Incident Investigations</w:t>
      </w:r>
      <w:bookmarkEnd w:id="14"/>
    </w:p>
    <w:bookmarkEnd w:id="13"/>
    <w:p w14:paraId="60FBC879" w14:textId="77777777" w:rsidR="001E2792" w:rsidRPr="0031505F" w:rsidRDefault="001E2792" w:rsidP="001E2792">
      <w:pPr>
        <w:jc w:val="both"/>
        <w:rPr>
          <w:rFonts w:ascii="Arial-BoldMT" w:eastAsia="Calibri" w:hAnsi="Arial-BoldMT" w:cs="Arial-BoldMT"/>
          <w:b/>
          <w:color w:val="0070C1"/>
        </w:rPr>
      </w:pPr>
    </w:p>
    <w:p w14:paraId="3646A5AC" w14:textId="77777777" w:rsidR="001E2792" w:rsidRPr="0031505F" w:rsidRDefault="001E2792" w:rsidP="001E2792">
      <w:pPr>
        <w:ind w:left="218"/>
        <w:jc w:val="both"/>
        <w:rPr>
          <w:rFonts w:cs="Arial"/>
          <w:szCs w:val="24"/>
        </w:rPr>
      </w:pPr>
      <w:r w:rsidRPr="0031505F">
        <w:rPr>
          <w:rFonts w:cs="Arial"/>
          <w:szCs w:val="24"/>
        </w:rPr>
        <w:t xml:space="preserve">Each comprehensive </w:t>
      </w:r>
      <w:r w:rsidRPr="00A52F1F">
        <w:rPr>
          <w:rFonts w:cs="Arial"/>
          <w:szCs w:val="24"/>
        </w:rPr>
        <w:t xml:space="preserve">Patient Safety Incident Investigation </w:t>
      </w:r>
      <w:r>
        <w:rPr>
          <w:rFonts w:cs="Arial"/>
          <w:szCs w:val="24"/>
        </w:rPr>
        <w:t>(</w:t>
      </w:r>
      <w:r w:rsidRPr="0031505F">
        <w:rPr>
          <w:rFonts w:cs="Arial"/>
          <w:szCs w:val="24"/>
        </w:rPr>
        <w:t>PSII</w:t>
      </w:r>
      <w:r>
        <w:rPr>
          <w:rFonts w:cs="Arial"/>
          <w:szCs w:val="24"/>
        </w:rPr>
        <w:t>)</w:t>
      </w:r>
      <w:r w:rsidRPr="0031505F">
        <w:rPr>
          <w:rFonts w:cs="Arial"/>
          <w:szCs w:val="24"/>
        </w:rPr>
        <w:t xml:space="preserve"> will be:</w:t>
      </w:r>
    </w:p>
    <w:p w14:paraId="4F4E778C" w14:textId="77777777" w:rsidR="001E2792" w:rsidRPr="0031505F" w:rsidRDefault="001E2792" w:rsidP="001E2792">
      <w:pPr>
        <w:ind w:left="218"/>
        <w:jc w:val="both"/>
        <w:rPr>
          <w:rFonts w:cs="Arial"/>
          <w:sz w:val="14"/>
          <w:szCs w:val="14"/>
          <w:vertAlign w:val="superscript"/>
        </w:rPr>
      </w:pPr>
    </w:p>
    <w:p w14:paraId="104D1B51"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Conducted separately, in full and to a high standard, by a team whose lead investigator is an experienced investigator and received training</w:t>
      </w:r>
      <w:r>
        <w:rPr>
          <w:rFonts w:eastAsia="Calibri" w:cs="Arial"/>
          <w:szCs w:val="24"/>
        </w:rPr>
        <w:t>.</w:t>
      </w:r>
    </w:p>
    <w:p w14:paraId="791DA3A7" w14:textId="77777777" w:rsidR="001E2792" w:rsidRPr="0031505F" w:rsidRDefault="001E2792" w:rsidP="001E2792">
      <w:pPr>
        <w:ind w:left="578"/>
        <w:contextualSpacing/>
        <w:jc w:val="both"/>
        <w:rPr>
          <w:rFonts w:eastAsia="Calibri" w:cs="Arial"/>
          <w:bCs w:val="0"/>
          <w:sz w:val="8"/>
          <w:szCs w:val="8"/>
        </w:rPr>
      </w:pPr>
    </w:p>
    <w:p w14:paraId="011C2479"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Undertaken as per the PSIRP and will adhere to the national PSII standards and with national good practice for PSII</w:t>
      </w:r>
      <w:r>
        <w:rPr>
          <w:rFonts w:eastAsia="Calibri" w:cs="Arial"/>
          <w:szCs w:val="24"/>
        </w:rPr>
        <w:t>.</w:t>
      </w:r>
    </w:p>
    <w:p w14:paraId="2FAFF187" w14:textId="77777777" w:rsidR="001E2792" w:rsidRPr="0031505F" w:rsidRDefault="001E2792" w:rsidP="001E2792">
      <w:pPr>
        <w:contextualSpacing/>
        <w:jc w:val="both"/>
        <w:rPr>
          <w:rFonts w:eastAsia="Calibri" w:cs="Arial"/>
          <w:bCs w:val="0"/>
          <w:sz w:val="8"/>
          <w:szCs w:val="8"/>
        </w:rPr>
      </w:pPr>
    </w:p>
    <w:p w14:paraId="0BD18B09"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Use the national standard template to report the findings of the PSIIs.</w:t>
      </w:r>
    </w:p>
    <w:p w14:paraId="00CF7FB9" w14:textId="77777777" w:rsidR="001E2792" w:rsidRPr="0031505F" w:rsidRDefault="001E2792" w:rsidP="001E2792">
      <w:pPr>
        <w:contextualSpacing/>
        <w:jc w:val="both"/>
        <w:rPr>
          <w:rFonts w:eastAsia="Calibri" w:cs="Arial"/>
          <w:bCs w:val="0"/>
          <w:sz w:val="8"/>
          <w:szCs w:val="8"/>
        </w:rPr>
      </w:pPr>
    </w:p>
    <w:p w14:paraId="336394D1"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Identify common, interconnected, deep-seated causal factors (not high- level themes or problems)</w:t>
      </w:r>
      <w:r>
        <w:rPr>
          <w:rFonts w:eastAsia="Calibri" w:cs="Arial"/>
          <w:szCs w:val="24"/>
        </w:rPr>
        <w:t>.</w:t>
      </w:r>
    </w:p>
    <w:p w14:paraId="0E50E564" w14:textId="77777777" w:rsidR="001E2792" w:rsidRPr="0031505F" w:rsidRDefault="001E2792" w:rsidP="001E2792">
      <w:pPr>
        <w:contextualSpacing/>
        <w:jc w:val="both"/>
        <w:rPr>
          <w:rFonts w:eastAsia="Calibri" w:cs="Arial"/>
          <w:bCs w:val="0"/>
          <w:sz w:val="8"/>
          <w:szCs w:val="8"/>
        </w:rPr>
      </w:pPr>
    </w:p>
    <w:p w14:paraId="507CF14A"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Design strong</w:t>
      </w:r>
      <w:r>
        <w:rPr>
          <w:rFonts w:eastAsia="Calibri" w:cs="Arial"/>
          <w:szCs w:val="24"/>
        </w:rPr>
        <w:t xml:space="preserve">, achievable and </w:t>
      </w:r>
      <w:r w:rsidRPr="0031505F">
        <w:rPr>
          <w:rFonts w:eastAsia="Calibri" w:cs="Arial"/>
          <w:szCs w:val="24"/>
        </w:rPr>
        <w:t>effective improvements to sustainably address common interconnected causal factors.</w:t>
      </w:r>
    </w:p>
    <w:p w14:paraId="6441740E" w14:textId="77777777" w:rsidR="001E2792" w:rsidRPr="0031505F" w:rsidRDefault="001E2792" w:rsidP="001E2792">
      <w:pPr>
        <w:contextualSpacing/>
        <w:jc w:val="both"/>
        <w:rPr>
          <w:rFonts w:eastAsia="Calibri" w:cs="Arial"/>
          <w:bCs w:val="0"/>
          <w:sz w:val="8"/>
          <w:szCs w:val="8"/>
        </w:rPr>
      </w:pPr>
    </w:p>
    <w:p w14:paraId="3E0E2490" w14:textId="77777777" w:rsidR="001E2792" w:rsidRPr="0031505F"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Develop a</w:t>
      </w:r>
      <w:r>
        <w:rPr>
          <w:rFonts w:eastAsia="Calibri" w:cs="Arial"/>
          <w:szCs w:val="24"/>
        </w:rPr>
        <w:t xml:space="preserve"> delivery </w:t>
      </w:r>
      <w:r w:rsidRPr="0031505F">
        <w:rPr>
          <w:rFonts w:eastAsia="Calibri" w:cs="Arial"/>
          <w:szCs w:val="24"/>
        </w:rPr>
        <w:t xml:space="preserve">plan </w:t>
      </w:r>
      <w:r>
        <w:rPr>
          <w:rFonts w:eastAsia="Calibri" w:cs="Arial"/>
          <w:szCs w:val="24"/>
        </w:rPr>
        <w:t xml:space="preserve">to support the </w:t>
      </w:r>
      <w:r w:rsidRPr="0031505F">
        <w:rPr>
          <w:rFonts w:eastAsia="Calibri" w:cs="Arial"/>
          <w:szCs w:val="24"/>
        </w:rPr>
        <w:t>implementation of the planned improvements.</w:t>
      </w:r>
    </w:p>
    <w:p w14:paraId="3F9D7C3C" w14:textId="77777777" w:rsidR="001E2792" w:rsidRPr="0031505F" w:rsidRDefault="001E2792" w:rsidP="001E2792">
      <w:pPr>
        <w:ind w:left="218"/>
        <w:jc w:val="both"/>
        <w:rPr>
          <w:rFonts w:eastAsia="Calibri" w:cs="Arial"/>
          <w:bCs w:val="0"/>
          <w:sz w:val="14"/>
          <w:szCs w:val="14"/>
        </w:rPr>
      </w:pPr>
    </w:p>
    <w:p w14:paraId="17B3CE0F" w14:textId="77777777" w:rsidR="001E2792" w:rsidRPr="0031505F" w:rsidRDefault="001E2792" w:rsidP="001E2792">
      <w:pPr>
        <w:ind w:left="218"/>
        <w:jc w:val="both"/>
        <w:rPr>
          <w:rFonts w:cs="Arial"/>
          <w:szCs w:val="24"/>
        </w:rPr>
      </w:pPr>
      <w:r w:rsidRPr="0031505F">
        <w:rPr>
          <w:rFonts w:cs="Arial"/>
          <w:szCs w:val="24"/>
        </w:rPr>
        <w:t>To monitor the quality of PSII findings and progress against this PSIRP we will seek answers to the follow:</w:t>
      </w:r>
    </w:p>
    <w:p w14:paraId="67F4DB21" w14:textId="77777777" w:rsidR="001E2792" w:rsidRPr="0031505F" w:rsidRDefault="001E2792" w:rsidP="001E2792">
      <w:pPr>
        <w:ind w:left="218"/>
        <w:jc w:val="both"/>
        <w:rPr>
          <w:rFonts w:cs="Arial"/>
          <w:sz w:val="8"/>
          <w:szCs w:val="8"/>
        </w:rPr>
      </w:pPr>
    </w:p>
    <w:p w14:paraId="37877E58"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Are the actions likely to achieve improvement?</w:t>
      </w:r>
    </w:p>
    <w:p w14:paraId="6406CB63" w14:textId="77777777" w:rsidR="001E2792" w:rsidRPr="0031505F" w:rsidRDefault="001E2792" w:rsidP="001E2792">
      <w:pPr>
        <w:ind w:left="578"/>
        <w:contextualSpacing/>
        <w:jc w:val="both"/>
        <w:rPr>
          <w:rFonts w:eastAsia="Calibri" w:cs="Arial"/>
          <w:bCs w:val="0"/>
          <w:sz w:val="8"/>
          <w:szCs w:val="8"/>
          <w:vertAlign w:val="superscript"/>
        </w:rPr>
      </w:pPr>
    </w:p>
    <w:p w14:paraId="73B57180" w14:textId="77777777" w:rsidR="001E2792" w:rsidRPr="0031505F"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Is there evidence of improvement?</w:t>
      </w:r>
    </w:p>
    <w:p w14:paraId="12D021DB" w14:textId="77777777" w:rsidR="001E2792" w:rsidRPr="0031505F" w:rsidRDefault="001E2792" w:rsidP="001E2792">
      <w:pPr>
        <w:jc w:val="both"/>
        <w:rPr>
          <w:rFonts w:eastAsia="Calibri" w:cs="Arial"/>
          <w:b/>
          <w:color w:val="0070C1"/>
          <w:sz w:val="20"/>
          <w:szCs w:val="20"/>
        </w:rPr>
      </w:pPr>
    </w:p>
    <w:p w14:paraId="55AF86D4" w14:textId="77777777" w:rsidR="001E2792" w:rsidRDefault="001E2792" w:rsidP="001E2792">
      <w:pPr>
        <w:ind w:firstLine="218"/>
        <w:contextualSpacing/>
        <w:jc w:val="both"/>
        <w:rPr>
          <w:rFonts w:eastAsia="Calibri" w:cs="Arial"/>
          <w:bCs w:val="0"/>
          <w:color w:val="0058B0"/>
          <w:sz w:val="28"/>
          <w:szCs w:val="28"/>
        </w:rPr>
      </w:pPr>
      <w:r w:rsidRPr="0031505F">
        <w:rPr>
          <w:rFonts w:eastAsia="Calibri" w:cs="Arial"/>
          <w:color w:val="0058B0"/>
          <w:sz w:val="28"/>
          <w:szCs w:val="28"/>
        </w:rPr>
        <w:t xml:space="preserve">Timescales for </w:t>
      </w:r>
      <w:r>
        <w:rPr>
          <w:rFonts w:eastAsia="Calibri" w:cs="Arial"/>
          <w:color w:val="0058B0"/>
          <w:sz w:val="28"/>
          <w:szCs w:val="28"/>
        </w:rPr>
        <w:t>c</w:t>
      </w:r>
      <w:r w:rsidRPr="0031505F">
        <w:rPr>
          <w:rFonts w:eastAsia="Calibri" w:cs="Arial"/>
          <w:color w:val="0058B0"/>
          <w:sz w:val="28"/>
          <w:szCs w:val="28"/>
        </w:rPr>
        <w:t>ompletion</w:t>
      </w:r>
    </w:p>
    <w:p w14:paraId="49D45CAA" w14:textId="77777777" w:rsidR="001E2792" w:rsidRPr="0031505F" w:rsidRDefault="001E2792" w:rsidP="001E2792">
      <w:pPr>
        <w:ind w:firstLine="218"/>
        <w:contextualSpacing/>
        <w:jc w:val="both"/>
        <w:rPr>
          <w:rFonts w:eastAsia="Calibri" w:cs="Arial"/>
          <w:bCs w:val="0"/>
          <w:color w:val="0058B0"/>
          <w:sz w:val="16"/>
          <w:szCs w:val="16"/>
        </w:rPr>
      </w:pPr>
    </w:p>
    <w:p w14:paraId="72F3C3F1" w14:textId="77777777" w:rsidR="001E2792" w:rsidRPr="0031505F"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Where a PSII for learning is indicated, the investigation must be started as soon as possible after the patient safety incident is identified. PSIIs should ordinarily be</w:t>
      </w:r>
      <w:r w:rsidRPr="0031505F">
        <w:rPr>
          <w:rFonts w:cs="Arial"/>
          <w:color w:val="221F1F"/>
          <w:spacing w:val="-27"/>
          <w:szCs w:val="24"/>
        </w:rPr>
        <w:t xml:space="preserve"> </w:t>
      </w:r>
      <w:r w:rsidRPr="0031505F">
        <w:rPr>
          <w:rFonts w:cs="Arial"/>
          <w:color w:val="221F1F"/>
          <w:szCs w:val="24"/>
        </w:rPr>
        <w:t>completed within one to three months of their start</w:t>
      </w:r>
      <w:r w:rsidRPr="0031505F">
        <w:rPr>
          <w:rFonts w:cs="Arial"/>
          <w:color w:val="221F1F"/>
          <w:spacing w:val="-11"/>
          <w:szCs w:val="24"/>
        </w:rPr>
        <w:t xml:space="preserve"> </w:t>
      </w:r>
      <w:r w:rsidRPr="0031505F">
        <w:rPr>
          <w:rFonts w:cs="Arial"/>
          <w:color w:val="221F1F"/>
          <w:szCs w:val="24"/>
        </w:rPr>
        <w:t>date. In exceptional circumstances, a longer timeframe may be required for completion of the PSII. In this case, any extended timeframe should be agreed between the healthcare organisation with the patient/family/carer.</w:t>
      </w:r>
    </w:p>
    <w:p w14:paraId="0CB0DAC2" w14:textId="77777777" w:rsidR="001E2792" w:rsidRPr="0031505F" w:rsidRDefault="001E2792" w:rsidP="001E2792">
      <w:pPr>
        <w:widowControl w:val="0"/>
        <w:tabs>
          <w:tab w:val="left" w:pos="959"/>
        </w:tabs>
        <w:autoSpaceDE w:val="0"/>
        <w:autoSpaceDN w:val="0"/>
        <w:ind w:left="218" w:right="139"/>
        <w:jc w:val="both"/>
        <w:rPr>
          <w:rFonts w:cs="Arial"/>
          <w:color w:val="221F1F"/>
          <w:sz w:val="14"/>
          <w:szCs w:val="14"/>
        </w:rPr>
      </w:pPr>
    </w:p>
    <w:p w14:paraId="77C4EEA8" w14:textId="77777777" w:rsidR="001E2792"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No local PSII should take longer than six months. A balance must be drawn between conducting a thorough PSII, the impact that extended timescales can have on those involved in the incident, and the risk that delayed findings may adversely affect safety or require further checks to ensure they remain relevant.</w:t>
      </w:r>
    </w:p>
    <w:p w14:paraId="5904AD59" w14:textId="77777777" w:rsidR="001E2792" w:rsidRPr="0031505F" w:rsidRDefault="001E2792" w:rsidP="001E2792">
      <w:pPr>
        <w:widowControl w:val="0"/>
        <w:tabs>
          <w:tab w:val="left" w:pos="959"/>
        </w:tabs>
        <w:autoSpaceDE w:val="0"/>
        <w:autoSpaceDN w:val="0"/>
        <w:spacing w:line="312" w:lineRule="auto"/>
        <w:ind w:left="218" w:right="139"/>
        <w:jc w:val="both"/>
        <w:rPr>
          <w:rFonts w:cs="Arial"/>
          <w:color w:val="221F1F"/>
          <w:sz w:val="20"/>
          <w:szCs w:val="20"/>
        </w:rPr>
      </w:pPr>
    </w:p>
    <w:p w14:paraId="237B1529" w14:textId="77777777" w:rsidR="001E2792" w:rsidRDefault="001E2792" w:rsidP="001E2792">
      <w:pPr>
        <w:ind w:left="215"/>
        <w:contextualSpacing/>
        <w:jc w:val="both"/>
        <w:rPr>
          <w:rFonts w:eastAsia="Calibri" w:cs="Arial"/>
          <w:bCs w:val="0"/>
          <w:color w:val="0058B0"/>
          <w:sz w:val="28"/>
          <w:szCs w:val="28"/>
        </w:rPr>
      </w:pPr>
      <w:r w:rsidRPr="0031505F">
        <w:rPr>
          <w:rFonts w:eastAsia="Calibri" w:cs="Arial"/>
          <w:color w:val="0058B0"/>
          <w:sz w:val="28"/>
          <w:szCs w:val="28"/>
        </w:rPr>
        <w:t xml:space="preserve">Involvement of </w:t>
      </w:r>
      <w:r>
        <w:rPr>
          <w:rFonts w:eastAsia="Calibri" w:cs="Arial"/>
          <w:color w:val="0058B0"/>
          <w:sz w:val="28"/>
          <w:szCs w:val="28"/>
        </w:rPr>
        <w:t>p</w:t>
      </w:r>
      <w:r w:rsidRPr="0031505F">
        <w:rPr>
          <w:rFonts w:eastAsia="Calibri" w:cs="Arial"/>
          <w:color w:val="0058B0"/>
          <w:sz w:val="28"/>
          <w:szCs w:val="28"/>
        </w:rPr>
        <w:t xml:space="preserve">atients, </w:t>
      </w:r>
      <w:r>
        <w:rPr>
          <w:rFonts w:eastAsia="Calibri" w:cs="Arial"/>
          <w:color w:val="0058B0"/>
          <w:sz w:val="28"/>
          <w:szCs w:val="28"/>
        </w:rPr>
        <w:t>f</w:t>
      </w:r>
      <w:r w:rsidRPr="0031505F">
        <w:rPr>
          <w:rFonts w:eastAsia="Calibri" w:cs="Arial"/>
          <w:color w:val="0058B0"/>
          <w:sz w:val="28"/>
          <w:szCs w:val="28"/>
        </w:rPr>
        <w:t xml:space="preserve">amilies and </w:t>
      </w:r>
      <w:r>
        <w:rPr>
          <w:rFonts w:eastAsia="Calibri" w:cs="Arial"/>
          <w:color w:val="0058B0"/>
          <w:sz w:val="28"/>
          <w:szCs w:val="28"/>
        </w:rPr>
        <w:t>c</w:t>
      </w:r>
      <w:r w:rsidRPr="0031505F">
        <w:rPr>
          <w:rFonts w:eastAsia="Calibri" w:cs="Arial"/>
          <w:color w:val="0058B0"/>
          <w:sz w:val="28"/>
          <w:szCs w:val="28"/>
        </w:rPr>
        <w:t xml:space="preserve">arers </w:t>
      </w:r>
      <w:r>
        <w:rPr>
          <w:rFonts w:eastAsia="Calibri" w:cs="Arial"/>
          <w:color w:val="0058B0"/>
          <w:sz w:val="28"/>
          <w:szCs w:val="28"/>
        </w:rPr>
        <w:t>f</w:t>
      </w:r>
      <w:r w:rsidRPr="0031505F">
        <w:rPr>
          <w:rFonts w:eastAsia="Calibri" w:cs="Arial"/>
          <w:color w:val="0058B0"/>
          <w:sz w:val="28"/>
          <w:szCs w:val="28"/>
        </w:rPr>
        <w:t xml:space="preserve">ollowing </w:t>
      </w:r>
      <w:r>
        <w:rPr>
          <w:rFonts w:eastAsia="Calibri" w:cs="Arial"/>
          <w:color w:val="0058B0"/>
          <w:sz w:val="28"/>
          <w:szCs w:val="28"/>
        </w:rPr>
        <w:t>i</w:t>
      </w:r>
      <w:r w:rsidRPr="0031505F">
        <w:rPr>
          <w:rFonts w:eastAsia="Calibri" w:cs="Arial"/>
          <w:color w:val="0058B0"/>
          <w:sz w:val="28"/>
          <w:szCs w:val="28"/>
        </w:rPr>
        <w:t>ncidents</w:t>
      </w:r>
    </w:p>
    <w:p w14:paraId="43E799F7" w14:textId="77777777" w:rsidR="001E2792" w:rsidRPr="0031505F" w:rsidRDefault="001E2792" w:rsidP="001E2792">
      <w:pPr>
        <w:ind w:left="215"/>
        <w:contextualSpacing/>
        <w:jc w:val="both"/>
        <w:rPr>
          <w:rFonts w:eastAsia="Calibri" w:cs="Arial"/>
          <w:bCs w:val="0"/>
          <w:color w:val="0058B0"/>
          <w:sz w:val="16"/>
          <w:szCs w:val="16"/>
        </w:rPr>
      </w:pPr>
    </w:p>
    <w:p w14:paraId="270A6AEE" w14:textId="77777777" w:rsidR="001E2792" w:rsidRPr="0031505F"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Patient safety incidents can have a significant impact on patients and their families. Getting involvement right with patients and families in how we respond to incidents is crucial, particularly to support improving the services we provide.</w:t>
      </w:r>
      <w:r>
        <w:rPr>
          <w:rFonts w:cs="Arial"/>
          <w:color w:val="221F1F"/>
          <w:szCs w:val="24"/>
        </w:rPr>
        <w:t xml:space="preserve"> </w:t>
      </w:r>
      <w:r w:rsidRPr="0031505F">
        <w:rPr>
          <w:rFonts w:cs="Arial"/>
          <w:color w:val="221F1F"/>
          <w:szCs w:val="24"/>
        </w:rPr>
        <w:t xml:space="preserve">New policies/SOPs that are </w:t>
      </w:r>
      <w:r>
        <w:rPr>
          <w:rFonts w:cs="Arial"/>
          <w:color w:val="221F1F"/>
          <w:szCs w:val="24"/>
        </w:rPr>
        <w:t xml:space="preserve">to be </w:t>
      </w:r>
      <w:r w:rsidRPr="0031505F">
        <w:rPr>
          <w:rFonts w:cs="Arial"/>
          <w:color w:val="221F1F"/>
          <w:szCs w:val="24"/>
        </w:rPr>
        <w:t>developed will provide guidance to support staff in how to discuss incidents with patients and family.</w:t>
      </w:r>
    </w:p>
    <w:p w14:paraId="55B4E9E7" w14:textId="77777777" w:rsidR="001E2792" w:rsidRPr="00C01F92" w:rsidRDefault="001E2792" w:rsidP="001E2792">
      <w:pPr>
        <w:ind w:firstLine="142"/>
        <w:contextualSpacing/>
        <w:jc w:val="both"/>
        <w:rPr>
          <w:rFonts w:eastAsia="Calibri" w:cs="Arial"/>
          <w:bCs w:val="0"/>
          <w:color w:val="0058B0"/>
          <w:sz w:val="16"/>
          <w:szCs w:val="16"/>
        </w:rPr>
      </w:pPr>
      <w:r w:rsidRPr="00C01F92">
        <w:rPr>
          <w:rFonts w:eastAsia="Calibri" w:cs="Arial"/>
          <w:color w:val="0058B0"/>
          <w:sz w:val="28"/>
          <w:szCs w:val="28"/>
        </w:rPr>
        <w:t xml:space="preserve"> </w:t>
      </w:r>
    </w:p>
    <w:p w14:paraId="187E1AA9" w14:textId="77777777" w:rsidR="001E2792" w:rsidRDefault="001E2792" w:rsidP="001E2792">
      <w:pPr>
        <w:ind w:firstLine="218"/>
        <w:contextualSpacing/>
        <w:jc w:val="both"/>
        <w:rPr>
          <w:rFonts w:eastAsia="Calibri" w:cs="Arial"/>
          <w:bCs w:val="0"/>
          <w:color w:val="0058B0"/>
          <w:sz w:val="28"/>
          <w:szCs w:val="28"/>
        </w:rPr>
      </w:pPr>
      <w:r w:rsidRPr="0031505F">
        <w:rPr>
          <w:rFonts w:eastAsia="Calibri" w:cs="Arial"/>
          <w:color w:val="0058B0"/>
          <w:sz w:val="28"/>
          <w:szCs w:val="28"/>
        </w:rPr>
        <w:t xml:space="preserve">Involvement and </w:t>
      </w:r>
      <w:r w:rsidRPr="00C01F92">
        <w:rPr>
          <w:rFonts w:eastAsia="Calibri" w:cs="Arial"/>
          <w:color w:val="0058B0"/>
          <w:sz w:val="28"/>
          <w:szCs w:val="28"/>
        </w:rPr>
        <w:t>s</w:t>
      </w:r>
      <w:r w:rsidRPr="0031505F">
        <w:rPr>
          <w:rFonts w:eastAsia="Calibri" w:cs="Arial"/>
          <w:color w:val="0058B0"/>
          <w:sz w:val="28"/>
          <w:szCs w:val="28"/>
        </w:rPr>
        <w:t xml:space="preserve">upport of </w:t>
      </w:r>
      <w:r w:rsidRPr="00C01F92">
        <w:rPr>
          <w:rFonts w:eastAsia="Calibri" w:cs="Arial"/>
          <w:color w:val="0058B0"/>
          <w:sz w:val="28"/>
          <w:szCs w:val="28"/>
        </w:rPr>
        <w:t>s</w:t>
      </w:r>
      <w:r w:rsidRPr="0031505F">
        <w:rPr>
          <w:rFonts w:eastAsia="Calibri" w:cs="Arial"/>
          <w:color w:val="0058B0"/>
          <w:sz w:val="28"/>
          <w:szCs w:val="28"/>
        </w:rPr>
        <w:t xml:space="preserve">taff following </w:t>
      </w:r>
      <w:r w:rsidRPr="00C01F92">
        <w:rPr>
          <w:rFonts w:eastAsia="Calibri" w:cs="Arial"/>
          <w:color w:val="0058B0"/>
          <w:sz w:val="28"/>
          <w:szCs w:val="28"/>
        </w:rPr>
        <w:t>i</w:t>
      </w:r>
      <w:r w:rsidRPr="0031505F">
        <w:rPr>
          <w:rFonts w:eastAsia="Calibri" w:cs="Arial"/>
          <w:color w:val="0058B0"/>
          <w:sz w:val="28"/>
          <w:szCs w:val="28"/>
        </w:rPr>
        <w:t>ncidents</w:t>
      </w:r>
    </w:p>
    <w:p w14:paraId="38D193C5" w14:textId="77777777" w:rsidR="001E2792" w:rsidRPr="0031505F" w:rsidRDefault="001E2792" w:rsidP="001E2792">
      <w:pPr>
        <w:ind w:firstLine="218"/>
        <w:contextualSpacing/>
        <w:jc w:val="both"/>
        <w:rPr>
          <w:rFonts w:eastAsia="Calibri" w:cs="Arial"/>
          <w:bCs w:val="0"/>
          <w:color w:val="0058B0"/>
          <w:sz w:val="16"/>
          <w:szCs w:val="16"/>
        </w:rPr>
      </w:pPr>
    </w:p>
    <w:p w14:paraId="5B1EC641" w14:textId="77777777" w:rsidR="001E2792"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 xml:space="preserve">The local arrangements for supporting staff affected by patient safety incidents will be </w:t>
      </w:r>
      <w:r w:rsidRPr="0031505F">
        <w:rPr>
          <w:rFonts w:cs="Arial"/>
          <w:color w:val="221F1F"/>
          <w:szCs w:val="24"/>
        </w:rPr>
        <w:lastRenderedPageBreak/>
        <w:t>followed. General arrangements for supporting staff health and wellbeing are detailed on the Trust’s intranet.</w:t>
      </w:r>
      <w:r>
        <w:rPr>
          <w:rFonts w:cs="Arial"/>
          <w:color w:val="221F1F"/>
          <w:szCs w:val="24"/>
        </w:rPr>
        <w:t xml:space="preserve"> </w:t>
      </w:r>
    </w:p>
    <w:p w14:paraId="46A895B6" w14:textId="77777777" w:rsidR="001E2792" w:rsidRPr="00C3137F" w:rsidRDefault="001E2792" w:rsidP="001E2792">
      <w:pPr>
        <w:widowControl w:val="0"/>
        <w:tabs>
          <w:tab w:val="left" w:pos="959"/>
        </w:tabs>
        <w:autoSpaceDE w:val="0"/>
        <w:autoSpaceDN w:val="0"/>
        <w:ind w:left="218" w:right="139"/>
        <w:jc w:val="both"/>
        <w:rPr>
          <w:rFonts w:cs="Arial"/>
          <w:color w:val="221F1F"/>
          <w:szCs w:val="24"/>
        </w:rPr>
      </w:pPr>
      <w:r w:rsidRPr="00C3137F">
        <w:rPr>
          <w:rFonts w:cs="Arial"/>
          <w:color w:val="221F1F"/>
          <w:szCs w:val="24"/>
        </w:rPr>
        <w:t>We make sure that in our daily practice, our conduct and our dealings with colleagues is honest, kind and where we are willing to learn.</w:t>
      </w:r>
      <w:r w:rsidRPr="00C3137F">
        <w:t xml:space="preserve"> </w:t>
      </w:r>
      <w:r w:rsidRPr="00C3137F">
        <w:rPr>
          <w:szCs w:val="24"/>
        </w:rPr>
        <w:t xml:space="preserve">We promote a </w:t>
      </w:r>
      <w:r>
        <w:rPr>
          <w:szCs w:val="24"/>
        </w:rPr>
        <w:t>‘</w:t>
      </w:r>
      <w:r>
        <w:rPr>
          <w:rFonts w:cs="Arial"/>
          <w:color w:val="221F1F"/>
          <w:szCs w:val="24"/>
        </w:rPr>
        <w:t>J</w:t>
      </w:r>
      <w:r w:rsidRPr="00C3137F">
        <w:rPr>
          <w:rFonts w:cs="Arial"/>
          <w:color w:val="221F1F"/>
          <w:szCs w:val="24"/>
        </w:rPr>
        <w:t xml:space="preserve">ust </w:t>
      </w:r>
      <w:r>
        <w:rPr>
          <w:rFonts w:cs="Arial"/>
          <w:color w:val="221F1F"/>
          <w:szCs w:val="24"/>
        </w:rPr>
        <w:t>C</w:t>
      </w:r>
      <w:r w:rsidRPr="00C3137F">
        <w:rPr>
          <w:rFonts w:cs="Arial"/>
          <w:color w:val="221F1F"/>
          <w:szCs w:val="24"/>
        </w:rPr>
        <w:t>ulture</w:t>
      </w:r>
      <w:r>
        <w:rPr>
          <w:rFonts w:cs="Arial"/>
          <w:color w:val="221F1F"/>
          <w:szCs w:val="24"/>
        </w:rPr>
        <w:t>’</w:t>
      </w:r>
      <w:r w:rsidRPr="00C3137F">
        <w:rPr>
          <w:rFonts w:cs="Arial"/>
          <w:color w:val="221F1F"/>
          <w:szCs w:val="24"/>
        </w:rPr>
        <w:t xml:space="preserve"> </w:t>
      </w:r>
      <w:r>
        <w:rPr>
          <w:rFonts w:cs="Arial"/>
          <w:color w:val="221F1F"/>
          <w:szCs w:val="24"/>
        </w:rPr>
        <w:t xml:space="preserve">across WWL and believe that this culture </w:t>
      </w:r>
      <w:r w:rsidRPr="00C3137F">
        <w:rPr>
          <w:rFonts w:cs="Arial"/>
          <w:color w:val="221F1F"/>
          <w:szCs w:val="24"/>
        </w:rPr>
        <w:t>is required to build trust so that a reporting culture will occur. A</w:t>
      </w:r>
      <w:r>
        <w:rPr>
          <w:rFonts w:cs="Arial"/>
          <w:color w:val="221F1F"/>
          <w:szCs w:val="24"/>
        </w:rPr>
        <w:t>n effective</w:t>
      </w:r>
      <w:r w:rsidRPr="00C3137F">
        <w:rPr>
          <w:rFonts w:cs="Arial"/>
          <w:color w:val="221F1F"/>
          <w:szCs w:val="24"/>
        </w:rPr>
        <w:t xml:space="preserve"> reporting culture is where all safety incidents are reported so that learning can occur and safety improvements can be made.</w:t>
      </w:r>
    </w:p>
    <w:p w14:paraId="4C8448C0" w14:textId="77777777" w:rsidR="001E2792" w:rsidRDefault="001E2792" w:rsidP="001E2792">
      <w:pPr>
        <w:contextualSpacing/>
        <w:jc w:val="both"/>
        <w:rPr>
          <w:rFonts w:eastAsia="Calibri" w:cs="Arial"/>
          <w:b/>
          <w:color w:val="0070C1"/>
          <w:szCs w:val="24"/>
        </w:rPr>
      </w:pPr>
    </w:p>
    <w:p w14:paraId="09E7BB3B" w14:textId="77777777" w:rsidR="001E2792" w:rsidRDefault="001E2792" w:rsidP="001E2792">
      <w:pPr>
        <w:contextualSpacing/>
        <w:jc w:val="both"/>
        <w:rPr>
          <w:rFonts w:eastAsia="Calibri" w:cs="Arial"/>
          <w:b/>
          <w:color w:val="0070C1"/>
          <w:szCs w:val="24"/>
        </w:rPr>
      </w:pPr>
    </w:p>
    <w:p w14:paraId="1A0672DE" w14:textId="77777777" w:rsidR="001E2792" w:rsidRDefault="001E2792" w:rsidP="001E2792">
      <w:pPr>
        <w:contextualSpacing/>
        <w:jc w:val="both"/>
        <w:rPr>
          <w:rFonts w:eastAsia="Calibri" w:cs="Arial"/>
          <w:b/>
          <w:color w:val="0070C1"/>
          <w:szCs w:val="24"/>
        </w:rPr>
      </w:pPr>
    </w:p>
    <w:p w14:paraId="04717D7A" w14:textId="77777777" w:rsidR="001E2792" w:rsidRDefault="001E2792" w:rsidP="001E2792">
      <w:pPr>
        <w:contextualSpacing/>
        <w:jc w:val="both"/>
        <w:rPr>
          <w:rFonts w:eastAsia="Calibri" w:cs="Arial"/>
          <w:b/>
          <w:color w:val="0070C1"/>
          <w:szCs w:val="24"/>
        </w:rPr>
      </w:pPr>
    </w:p>
    <w:p w14:paraId="10E76819" w14:textId="77777777" w:rsidR="001E2792" w:rsidRDefault="001E2792" w:rsidP="001E2792">
      <w:pPr>
        <w:contextualSpacing/>
        <w:jc w:val="both"/>
        <w:rPr>
          <w:rFonts w:eastAsia="Calibri" w:cs="Arial"/>
          <w:b/>
          <w:color w:val="0070C1"/>
          <w:szCs w:val="24"/>
        </w:rPr>
      </w:pPr>
    </w:p>
    <w:p w14:paraId="18913218" w14:textId="77777777" w:rsidR="001E2792" w:rsidRDefault="001E2792" w:rsidP="001E2792">
      <w:pPr>
        <w:contextualSpacing/>
        <w:jc w:val="both"/>
        <w:rPr>
          <w:rFonts w:eastAsia="Calibri" w:cs="Arial"/>
          <w:b/>
          <w:color w:val="0070C1"/>
          <w:szCs w:val="24"/>
        </w:rPr>
      </w:pPr>
    </w:p>
    <w:p w14:paraId="153B803D" w14:textId="77777777" w:rsidR="001E2792" w:rsidRDefault="001E2792" w:rsidP="001E2792">
      <w:pPr>
        <w:contextualSpacing/>
        <w:jc w:val="both"/>
        <w:rPr>
          <w:rFonts w:eastAsia="Calibri" w:cs="Arial"/>
          <w:b/>
          <w:color w:val="0070C1"/>
          <w:szCs w:val="24"/>
        </w:rPr>
      </w:pPr>
    </w:p>
    <w:p w14:paraId="26B35C82" w14:textId="77777777" w:rsidR="001E2792" w:rsidRDefault="001E2792" w:rsidP="001E2792">
      <w:pPr>
        <w:contextualSpacing/>
        <w:jc w:val="both"/>
        <w:rPr>
          <w:rFonts w:eastAsia="Calibri" w:cs="Arial"/>
          <w:b/>
          <w:color w:val="0070C1"/>
          <w:szCs w:val="24"/>
        </w:rPr>
      </w:pPr>
    </w:p>
    <w:p w14:paraId="49F0B17B" w14:textId="77777777" w:rsidR="001E2792" w:rsidRDefault="001E2792" w:rsidP="001E2792">
      <w:pPr>
        <w:contextualSpacing/>
        <w:jc w:val="both"/>
        <w:rPr>
          <w:rFonts w:eastAsia="Calibri" w:cs="Arial"/>
          <w:b/>
          <w:color w:val="0070C1"/>
          <w:szCs w:val="24"/>
        </w:rPr>
      </w:pPr>
    </w:p>
    <w:p w14:paraId="31D595C0" w14:textId="77777777" w:rsidR="001E2792" w:rsidRDefault="001E2792" w:rsidP="001E2792">
      <w:pPr>
        <w:contextualSpacing/>
        <w:jc w:val="both"/>
        <w:rPr>
          <w:rFonts w:eastAsia="Calibri" w:cs="Arial"/>
          <w:b/>
          <w:color w:val="0070C1"/>
          <w:szCs w:val="24"/>
        </w:rPr>
      </w:pPr>
    </w:p>
    <w:p w14:paraId="69DEA6F6" w14:textId="77777777" w:rsidR="001E2792" w:rsidRDefault="001E2792" w:rsidP="001E2792">
      <w:pPr>
        <w:contextualSpacing/>
        <w:jc w:val="both"/>
        <w:rPr>
          <w:rFonts w:eastAsia="Calibri" w:cs="Arial"/>
          <w:b/>
          <w:color w:val="0070C1"/>
          <w:szCs w:val="24"/>
        </w:rPr>
      </w:pPr>
    </w:p>
    <w:p w14:paraId="1DB81EC2" w14:textId="77777777" w:rsidR="001E2792" w:rsidRDefault="001E2792" w:rsidP="001E2792">
      <w:pPr>
        <w:contextualSpacing/>
        <w:jc w:val="both"/>
        <w:rPr>
          <w:rFonts w:eastAsia="Calibri" w:cs="Arial"/>
          <w:b/>
          <w:color w:val="0070C1"/>
          <w:szCs w:val="24"/>
        </w:rPr>
      </w:pPr>
    </w:p>
    <w:p w14:paraId="3B80C7D4" w14:textId="77777777" w:rsidR="001E2792" w:rsidRDefault="001E2792" w:rsidP="001E2792">
      <w:pPr>
        <w:contextualSpacing/>
        <w:jc w:val="both"/>
        <w:rPr>
          <w:rFonts w:eastAsia="Calibri" w:cs="Arial"/>
          <w:b/>
          <w:color w:val="0070C1"/>
          <w:szCs w:val="24"/>
        </w:rPr>
      </w:pPr>
    </w:p>
    <w:p w14:paraId="567ED134" w14:textId="77777777" w:rsidR="001E2792" w:rsidRDefault="001E2792" w:rsidP="001E2792">
      <w:pPr>
        <w:contextualSpacing/>
        <w:jc w:val="both"/>
        <w:rPr>
          <w:rFonts w:eastAsia="Calibri" w:cs="Arial"/>
          <w:b/>
          <w:color w:val="0070C1"/>
          <w:szCs w:val="24"/>
        </w:rPr>
      </w:pPr>
    </w:p>
    <w:p w14:paraId="5A2C92C7" w14:textId="77777777" w:rsidR="001E2792" w:rsidRDefault="001E2792" w:rsidP="001E2792">
      <w:pPr>
        <w:contextualSpacing/>
        <w:jc w:val="both"/>
        <w:rPr>
          <w:rFonts w:eastAsia="Calibri" w:cs="Arial"/>
          <w:b/>
          <w:color w:val="0070C1"/>
          <w:szCs w:val="24"/>
        </w:rPr>
      </w:pPr>
    </w:p>
    <w:p w14:paraId="7B07C2CB" w14:textId="77777777" w:rsidR="001E2792" w:rsidRDefault="001E2792" w:rsidP="001E2792">
      <w:pPr>
        <w:contextualSpacing/>
        <w:jc w:val="both"/>
        <w:rPr>
          <w:rFonts w:eastAsia="Calibri" w:cs="Arial"/>
          <w:b/>
          <w:color w:val="0070C1"/>
          <w:szCs w:val="24"/>
        </w:rPr>
      </w:pPr>
    </w:p>
    <w:p w14:paraId="73C8D22A" w14:textId="77777777" w:rsidR="001E2792" w:rsidRDefault="001E2792" w:rsidP="001E2792">
      <w:pPr>
        <w:contextualSpacing/>
        <w:jc w:val="both"/>
        <w:rPr>
          <w:rFonts w:eastAsia="Calibri" w:cs="Arial"/>
          <w:b/>
          <w:color w:val="0070C1"/>
          <w:szCs w:val="24"/>
        </w:rPr>
      </w:pPr>
    </w:p>
    <w:p w14:paraId="7A338F2A" w14:textId="77777777" w:rsidR="001E2792" w:rsidRDefault="001E2792" w:rsidP="001E2792">
      <w:pPr>
        <w:contextualSpacing/>
        <w:jc w:val="both"/>
        <w:rPr>
          <w:rFonts w:eastAsia="Calibri" w:cs="Arial"/>
          <w:b/>
          <w:color w:val="0070C1"/>
          <w:szCs w:val="24"/>
        </w:rPr>
      </w:pPr>
    </w:p>
    <w:p w14:paraId="27082C7B" w14:textId="77777777" w:rsidR="001E2792" w:rsidRDefault="001E2792" w:rsidP="001E2792">
      <w:pPr>
        <w:contextualSpacing/>
        <w:jc w:val="both"/>
        <w:rPr>
          <w:rFonts w:eastAsia="Calibri" w:cs="Arial"/>
          <w:b/>
          <w:color w:val="0070C1"/>
          <w:szCs w:val="24"/>
        </w:rPr>
      </w:pPr>
    </w:p>
    <w:p w14:paraId="7F9F25A6" w14:textId="77777777" w:rsidR="001E2792" w:rsidRDefault="001E2792" w:rsidP="001E2792">
      <w:pPr>
        <w:contextualSpacing/>
        <w:jc w:val="both"/>
        <w:rPr>
          <w:rFonts w:eastAsia="Calibri" w:cs="Arial"/>
          <w:b/>
          <w:color w:val="0070C1"/>
          <w:szCs w:val="24"/>
        </w:rPr>
      </w:pPr>
    </w:p>
    <w:p w14:paraId="17744FA3" w14:textId="77777777" w:rsidR="001E2792" w:rsidRDefault="001E2792" w:rsidP="001E2792">
      <w:pPr>
        <w:contextualSpacing/>
        <w:jc w:val="both"/>
        <w:rPr>
          <w:rFonts w:eastAsia="Calibri" w:cs="Arial"/>
          <w:b/>
          <w:color w:val="0070C1"/>
          <w:szCs w:val="24"/>
        </w:rPr>
      </w:pPr>
    </w:p>
    <w:p w14:paraId="641FDD48" w14:textId="77777777" w:rsidR="001E2792" w:rsidRDefault="001E2792" w:rsidP="001E2792">
      <w:pPr>
        <w:contextualSpacing/>
        <w:jc w:val="both"/>
        <w:rPr>
          <w:rFonts w:eastAsia="Calibri" w:cs="Arial"/>
          <w:b/>
          <w:color w:val="0070C1"/>
          <w:szCs w:val="24"/>
        </w:rPr>
      </w:pPr>
    </w:p>
    <w:p w14:paraId="3578EE6B" w14:textId="77777777" w:rsidR="001E2792" w:rsidRDefault="001E2792" w:rsidP="001E2792">
      <w:pPr>
        <w:contextualSpacing/>
        <w:jc w:val="both"/>
        <w:rPr>
          <w:rFonts w:eastAsia="Calibri" w:cs="Arial"/>
          <w:b/>
          <w:color w:val="0070C1"/>
          <w:szCs w:val="24"/>
        </w:rPr>
      </w:pPr>
    </w:p>
    <w:p w14:paraId="7B5F61D9" w14:textId="77777777" w:rsidR="001E2792" w:rsidRDefault="001E2792" w:rsidP="001E2792">
      <w:pPr>
        <w:contextualSpacing/>
        <w:jc w:val="both"/>
        <w:rPr>
          <w:rFonts w:eastAsia="Calibri" w:cs="Arial"/>
          <w:b/>
          <w:color w:val="0070C1"/>
          <w:szCs w:val="24"/>
        </w:rPr>
      </w:pPr>
    </w:p>
    <w:p w14:paraId="1539C004" w14:textId="77777777" w:rsidR="001E2792" w:rsidRDefault="001E2792" w:rsidP="001E2792">
      <w:pPr>
        <w:contextualSpacing/>
        <w:jc w:val="both"/>
        <w:rPr>
          <w:rFonts w:eastAsia="Calibri" w:cs="Arial"/>
          <w:b/>
          <w:color w:val="0070C1"/>
          <w:szCs w:val="24"/>
        </w:rPr>
      </w:pPr>
    </w:p>
    <w:p w14:paraId="6388086E" w14:textId="77777777" w:rsidR="001E2792" w:rsidRDefault="001E2792" w:rsidP="001E2792">
      <w:pPr>
        <w:contextualSpacing/>
        <w:jc w:val="both"/>
        <w:rPr>
          <w:rFonts w:eastAsia="Calibri" w:cs="Arial"/>
          <w:b/>
          <w:color w:val="0070C1"/>
          <w:szCs w:val="24"/>
        </w:rPr>
      </w:pPr>
    </w:p>
    <w:p w14:paraId="74B85FE4" w14:textId="77777777" w:rsidR="001E2792" w:rsidRDefault="001E2792" w:rsidP="001E2792">
      <w:pPr>
        <w:contextualSpacing/>
        <w:jc w:val="both"/>
        <w:rPr>
          <w:rFonts w:eastAsia="Calibri" w:cs="Arial"/>
          <w:b/>
          <w:color w:val="0070C1"/>
          <w:szCs w:val="24"/>
        </w:rPr>
      </w:pPr>
    </w:p>
    <w:p w14:paraId="6043984D" w14:textId="77777777" w:rsidR="001E2792" w:rsidRDefault="001E2792" w:rsidP="001E2792">
      <w:pPr>
        <w:contextualSpacing/>
        <w:jc w:val="both"/>
        <w:rPr>
          <w:rFonts w:eastAsia="Calibri" w:cs="Arial"/>
          <w:b/>
          <w:color w:val="0070C1"/>
          <w:szCs w:val="24"/>
        </w:rPr>
      </w:pPr>
    </w:p>
    <w:p w14:paraId="1C36A029" w14:textId="77777777" w:rsidR="001E2792" w:rsidRDefault="001E2792" w:rsidP="001E2792">
      <w:pPr>
        <w:contextualSpacing/>
        <w:jc w:val="both"/>
        <w:rPr>
          <w:rFonts w:eastAsia="Calibri" w:cs="Arial"/>
          <w:b/>
          <w:color w:val="0070C1"/>
          <w:szCs w:val="24"/>
        </w:rPr>
      </w:pPr>
    </w:p>
    <w:p w14:paraId="76AB04BB" w14:textId="77777777" w:rsidR="001E2792" w:rsidRDefault="001E2792" w:rsidP="001E2792">
      <w:pPr>
        <w:contextualSpacing/>
        <w:jc w:val="both"/>
        <w:rPr>
          <w:rFonts w:eastAsia="Calibri" w:cs="Arial"/>
          <w:b/>
          <w:color w:val="0070C1"/>
          <w:szCs w:val="24"/>
        </w:rPr>
      </w:pPr>
    </w:p>
    <w:p w14:paraId="19E170D9" w14:textId="77777777" w:rsidR="001E2792" w:rsidRDefault="001E2792" w:rsidP="001E2792">
      <w:pPr>
        <w:contextualSpacing/>
        <w:jc w:val="both"/>
        <w:rPr>
          <w:rFonts w:eastAsia="Calibri" w:cs="Arial"/>
          <w:b/>
          <w:color w:val="0070C1"/>
          <w:szCs w:val="24"/>
        </w:rPr>
      </w:pPr>
    </w:p>
    <w:p w14:paraId="78B2F27F" w14:textId="77777777" w:rsidR="001E2792" w:rsidRDefault="001E2792" w:rsidP="001E2792">
      <w:pPr>
        <w:contextualSpacing/>
        <w:jc w:val="both"/>
        <w:rPr>
          <w:rFonts w:eastAsia="Calibri" w:cs="Arial"/>
          <w:b/>
          <w:color w:val="0070C1"/>
          <w:szCs w:val="24"/>
        </w:rPr>
      </w:pPr>
    </w:p>
    <w:p w14:paraId="040DDEC9" w14:textId="77777777" w:rsidR="001E2792" w:rsidRDefault="001E2792" w:rsidP="001E2792">
      <w:pPr>
        <w:contextualSpacing/>
        <w:jc w:val="both"/>
        <w:rPr>
          <w:rFonts w:eastAsia="Calibri" w:cs="Arial"/>
          <w:b/>
          <w:color w:val="0070C1"/>
          <w:szCs w:val="24"/>
        </w:rPr>
      </w:pPr>
    </w:p>
    <w:p w14:paraId="2328872F" w14:textId="77777777" w:rsidR="001E2792" w:rsidRDefault="001E2792" w:rsidP="001E2792">
      <w:pPr>
        <w:contextualSpacing/>
        <w:jc w:val="both"/>
        <w:rPr>
          <w:rFonts w:eastAsia="Calibri" w:cs="Arial"/>
          <w:b/>
          <w:color w:val="0070C1"/>
          <w:szCs w:val="24"/>
        </w:rPr>
      </w:pPr>
    </w:p>
    <w:p w14:paraId="64D6D875" w14:textId="77777777" w:rsidR="001E2792" w:rsidRDefault="001E2792" w:rsidP="001E2792">
      <w:pPr>
        <w:contextualSpacing/>
        <w:jc w:val="both"/>
        <w:rPr>
          <w:rFonts w:eastAsia="Calibri" w:cs="Arial"/>
          <w:b/>
          <w:color w:val="0070C1"/>
          <w:szCs w:val="24"/>
        </w:rPr>
      </w:pPr>
    </w:p>
    <w:p w14:paraId="213AFE29" w14:textId="77777777" w:rsidR="001E2792" w:rsidRDefault="001E2792" w:rsidP="001E2792">
      <w:pPr>
        <w:contextualSpacing/>
        <w:jc w:val="both"/>
        <w:rPr>
          <w:rFonts w:eastAsia="Calibri" w:cs="Arial"/>
          <w:b/>
          <w:color w:val="0070C1"/>
          <w:szCs w:val="24"/>
        </w:rPr>
      </w:pPr>
    </w:p>
    <w:p w14:paraId="6F3535D2" w14:textId="77777777" w:rsidR="001E2792" w:rsidRDefault="001E2792" w:rsidP="001E2792">
      <w:pPr>
        <w:contextualSpacing/>
        <w:jc w:val="both"/>
        <w:rPr>
          <w:rFonts w:eastAsia="Calibri" w:cs="Arial"/>
          <w:b/>
          <w:color w:val="0070C1"/>
          <w:szCs w:val="24"/>
        </w:rPr>
      </w:pPr>
    </w:p>
    <w:p w14:paraId="1FBCF4E0" w14:textId="77777777" w:rsidR="001E2792" w:rsidRDefault="001E2792" w:rsidP="001E2792">
      <w:pPr>
        <w:contextualSpacing/>
        <w:jc w:val="both"/>
        <w:rPr>
          <w:rFonts w:eastAsia="Calibri" w:cs="Arial"/>
          <w:b/>
          <w:color w:val="0070C1"/>
          <w:szCs w:val="24"/>
        </w:rPr>
      </w:pPr>
    </w:p>
    <w:p w14:paraId="2F0AF73D" w14:textId="77777777" w:rsidR="001E2792" w:rsidRPr="00993528" w:rsidRDefault="001E2792" w:rsidP="001E2792">
      <w:pPr>
        <w:pStyle w:val="ListParagraph"/>
        <w:numPr>
          <w:ilvl w:val="0"/>
          <w:numId w:val="12"/>
        </w:numPr>
        <w:ind w:hanging="502"/>
        <w:jc w:val="both"/>
        <w:rPr>
          <w:rFonts w:eastAsia="Calibri" w:cs="Arial"/>
          <w:bCs w:val="0"/>
          <w:color w:val="0058B0"/>
          <w:sz w:val="36"/>
          <w:szCs w:val="36"/>
        </w:rPr>
      </w:pPr>
      <w:bookmarkStart w:id="15" w:name="_Hlk140071334"/>
      <w:r w:rsidRPr="00993528">
        <w:rPr>
          <w:rFonts w:eastAsia="Calibri" w:cs="Arial"/>
          <w:color w:val="0058B0"/>
          <w:sz w:val="36"/>
          <w:szCs w:val="36"/>
        </w:rPr>
        <w:lastRenderedPageBreak/>
        <w:t>Evaluation and monitoring outcomes from PSIIs</w:t>
      </w:r>
    </w:p>
    <w:bookmarkEnd w:id="15"/>
    <w:p w14:paraId="52BBAC09" w14:textId="77777777" w:rsidR="001E2792" w:rsidRPr="0031505F" w:rsidRDefault="001E2792" w:rsidP="001E2792">
      <w:pPr>
        <w:ind w:left="938"/>
        <w:contextualSpacing/>
        <w:jc w:val="both"/>
        <w:rPr>
          <w:rFonts w:eastAsia="Calibri" w:cs="Arial"/>
          <w:b/>
          <w:color w:val="0070C1"/>
          <w:sz w:val="20"/>
          <w:szCs w:val="20"/>
        </w:rPr>
      </w:pPr>
    </w:p>
    <w:p w14:paraId="04C3BD0D" w14:textId="77777777" w:rsidR="001E2792" w:rsidRPr="0031505F"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Robust findings from PSIIs and reviews provide key insights and learning opportunities, but they are not the end of the story. Findings must be translated into effective improvement design and implementation. This work can often require a different set of skills from those required to gain effective insight or learning from patient safety reviews and PSIIs.</w:t>
      </w:r>
    </w:p>
    <w:p w14:paraId="64383ECA" w14:textId="77777777" w:rsidR="001E2792" w:rsidRPr="0031505F" w:rsidRDefault="001E2792" w:rsidP="001E2792">
      <w:pPr>
        <w:widowControl w:val="0"/>
        <w:tabs>
          <w:tab w:val="left" w:pos="959"/>
        </w:tabs>
        <w:autoSpaceDE w:val="0"/>
        <w:autoSpaceDN w:val="0"/>
        <w:ind w:left="218" w:right="139"/>
        <w:jc w:val="both"/>
        <w:rPr>
          <w:rFonts w:cs="Arial"/>
          <w:color w:val="221F1F"/>
          <w:sz w:val="20"/>
          <w:szCs w:val="20"/>
        </w:rPr>
      </w:pPr>
    </w:p>
    <w:p w14:paraId="5CCDA585" w14:textId="77777777" w:rsidR="001E2792" w:rsidRPr="0031505F"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Improvement work should only be shared once it has been monitored and demonstrated that it can be successfully and sustainably adopted, and that the changes have measurably reduced risk of repeat incidents.</w:t>
      </w:r>
    </w:p>
    <w:p w14:paraId="5853CCDC" w14:textId="77777777" w:rsidR="001E2792" w:rsidRPr="0031505F" w:rsidRDefault="001E2792" w:rsidP="001E2792">
      <w:pPr>
        <w:widowControl w:val="0"/>
        <w:tabs>
          <w:tab w:val="left" w:pos="959"/>
        </w:tabs>
        <w:autoSpaceDE w:val="0"/>
        <w:autoSpaceDN w:val="0"/>
        <w:ind w:left="218" w:right="139"/>
        <w:jc w:val="both"/>
        <w:rPr>
          <w:rFonts w:cs="Arial"/>
          <w:color w:val="221F1F"/>
          <w:sz w:val="20"/>
          <w:szCs w:val="20"/>
        </w:rPr>
      </w:pPr>
    </w:p>
    <w:p w14:paraId="21E70331" w14:textId="77777777" w:rsidR="001E2792" w:rsidRPr="0031505F" w:rsidRDefault="001E2792" w:rsidP="001E2792">
      <w:pPr>
        <w:widowControl w:val="0"/>
        <w:tabs>
          <w:tab w:val="left" w:pos="959"/>
        </w:tabs>
        <w:autoSpaceDE w:val="0"/>
        <w:autoSpaceDN w:val="0"/>
        <w:ind w:left="218" w:right="139"/>
        <w:jc w:val="both"/>
        <w:rPr>
          <w:rFonts w:cs="Arial"/>
          <w:color w:val="221F1F"/>
          <w:szCs w:val="24"/>
        </w:rPr>
      </w:pPr>
      <w:r w:rsidRPr="0031505F">
        <w:rPr>
          <w:rFonts w:cs="Arial"/>
          <w:color w:val="221F1F"/>
          <w:szCs w:val="24"/>
        </w:rPr>
        <w:t xml:space="preserve">Reports </w:t>
      </w:r>
      <w:r>
        <w:rPr>
          <w:rFonts w:cs="Arial"/>
          <w:color w:val="221F1F"/>
          <w:szCs w:val="24"/>
        </w:rPr>
        <w:t>from</w:t>
      </w:r>
      <w:r w:rsidRPr="0031505F">
        <w:rPr>
          <w:rFonts w:cs="Arial"/>
          <w:color w:val="221F1F"/>
          <w:szCs w:val="24"/>
        </w:rPr>
        <w:t xml:space="preserve"> the </w:t>
      </w:r>
      <w:r w:rsidRPr="00261C7E">
        <w:rPr>
          <w:rFonts w:cs="Arial"/>
          <w:szCs w:val="24"/>
        </w:rPr>
        <w:t>Learning from Patient Safety Events (</w:t>
      </w:r>
      <w:proofErr w:type="spellStart"/>
      <w:r w:rsidRPr="00261C7E">
        <w:rPr>
          <w:rFonts w:cs="Arial"/>
          <w:szCs w:val="24"/>
        </w:rPr>
        <w:t>LfPSE</w:t>
      </w:r>
      <w:proofErr w:type="spellEnd"/>
      <w:r w:rsidRPr="00261C7E">
        <w:rPr>
          <w:rFonts w:cs="Arial"/>
          <w:szCs w:val="24"/>
        </w:rPr>
        <w:t>) Group</w:t>
      </w:r>
      <w:r>
        <w:rPr>
          <w:rFonts w:cs="Arial"/>
          <w:szCs w:val="24"/>
        </w:rPr>
        <w:t xml:space="preserve"> and Learning from Excellence Group will go</w:t>
      </w:r>
      <w:r w:rsidRPr="00261C7E">
        <w:rPr>
          <w:rFonts w:cs="Arial"/>
          <w:szCs w:val="24"/>
        </w:rPr>
        <w:t xml:space="preserve"> to the Trust Quality and Safety Committee and Board </w:t>
      </w:r>
      <w:r w:rsidRPr="0031505F">
        <w:rPr>
          <w:rFonts w:cs="Arial"/>
          <w:color w:val="221F1F"/>
          <w:szCs w:val="24"/>
        </w:rPr>
        <w:t>will be</w:t>
      </w:r>
      <w:r>
        <w:rPr>
          <w:rFonts w:cs="Arial"/>
          <w:color w:val="221F1F"/>
          <w:szCs w:val="24"/>
        </w:rPr>
        <w:t xml:space="preserve"> provided on a q</w:t>
      </w:r>
      <w:r w:rsidRPr="0031505F">
        <w:rPr>
          <w:rFonts w:cs="Arial"/>
          <w:color w:val="221F1F"/>
          <w:szCs w:val="24"/>
        </w:rPr>
        <w:t xml:space="preserve">uarterly </w:t>
      </w:r>
      <w:r>
        <w:rPr>
          <w:rFonts w:cs="Arial"/>
          <w:color w:val="221F1F"/>
          <w:szCs w:val="24"/>
        </w:rPr>
        <w:t xml:space="preserve">basis </w:t>
      </w:r>
      <w:r w:rsidRPr="0031505F">
        <w:rPr>
          <w:rFonts w:cs="Arial"/>
          <w:color w:val="221F1F"/>
          <w:szCs w:val="24"/>
        </w:rPr>
        <w:t xml:space="preserve">and will include </w:t>
      </w:r>
      <w:r>
        <w:rPr>
          <w:rFonts w:cs="Arial"/>
          <w:color w:val="221F1F"/>
          <w:szCs w:val="24"/>
        </w:rPr>
        <w:t xml:space="preserve">but not limited to </w:t>
      </w:r>
      <w:r w:rsidRPr="0031505F">
        <w:rPr>
          <w:rFonts w:cs="Arial"/>
          <w:color w:val="221F1F"/>
          <w:szCs w:val="24"/>
        </w:rPr>
        <w:t>aggregated data on:</w:t>
      </w:r>
    </w:p>
    <w:p w14:paraId="36723E87" w14:textId="77777777" w:rsidR="001E2792" w:rsidRPr="0031505F" w:rsidRDefault="001E2792" w:rsidP="001E2792">
      <w:pPr>
        <w:widowControl w:val="0"/>
        <w:tabs>
          <w:tab w:val="left" w:pos="959"/>
        </w:tabs>
        <w:autoSpaceDE w:val="0"/>
        <w:autoSpaceDN w:val="0"/>
        <w:ind w:left="218" w:right="139"/>
        <w:jc w:val="both"/>
        <w:rPr>
          <w:rFonts w:cs="Arial"/>
          <w:color w:val="221F1F"/>
          <w:szCs w:val="24"/>
        </w:rPr>
      </w:pPr>
    </w:p>
    <w:p w14:paraId="57D57EB5"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 xml:space="preserve">Patient </w:t>
      </w:r>
      <w:r>
        <w:rPr>
          <w:rFonts w:eastAsia="Calibri" w:cs="Arial"/>
          <w:szCs w:val="24"/>
        </w:rPr>
        <w:t>S</w:t>
      </w:r>
      <w:r w:rsidRPr="0031505F">
        <w:rPr>
          <w:rFonts w:eastAsia="Calibri" w:cs="Arial"/>
          <w:szCs w:val="24"/>
        </w:rPr>
        <w:t xml:space="preserve">afety </w:t>
      </w:r>
      <w:r>
        <w:rPr>
          <w:rFonts w:eastAsia="Calibri" w:cs="Arial"/>
          <w:szCs w:val="24"/>
        </w:rPr>
        <w:t>I</w:t>
      </w:r>
      <w:r w:rsidRPr="0031505F">
        <w:rPr>
          <w:rFonts w:eastAsia="Calibri" w:cs="Arial"/>
          <w:szCs w:val="24"/>
        </w:rPr>
        <w:t>ncident reporting</w:t>
      </w:r>
      <w:r>
        <w:rPr>
          <w:rFonts w:eastAsia="Calibri" w:cs="Arial"/>
          <w:szCs w:val="24"/>
        </w:rPr>
        <w:t xml:space="preserve"> i.e. by Directorate, emergent themes and trends. </w:t>
      </w:r>
    </w:p>
    <w:p w14:paraId="346AD267" w14:textId="77777777" w:rsidR="001E2792" w:rsidRPr="0031505F" w:rsidRDefault="001E2792" w:rsidP="001E2792">
      <w:pPr>
        <w:contextualSpacing/>
        <w:jc w:val="both"/>
        <w:rPr>
          <w:rFonts w:eastAsia="Calibri" w:cs="Arial"/>
          <w:bCs w:val="0"/>
          <w:sz w:val="16"/>
          <w:szCs w:val="16"/>
        </w:rPr>
      </w:pPr>
    </w:p>
    <w:p w14:paraId="01167B6F" w14:textId="77777777" w:rsidR="001E2792" w:rsidRPr="00993528"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Findings</w:t>
      </w:r>
      <w:r>
        <w:rPr>
          <w:rFonts w:eastAsia="Calibri" w:cs="Arial"/>
          <w:szCs w:val="24"/>
        </w:rPr>
        <w:t xml:space="preserve"> and shared </w:t>
      </w:r>
      <w:r w:rsidRPr="0031505F">
        <w:rPr>
          <w:rFonts w:eastAsia="Calibri" w:cs="Arial"/>
          <w:szCs w:val="24"/>
        </w:rPr>
        <w:t>learning from</w:t>
      </w:r>
      <w:r w:rsidRPr="00993528">
        <w:rPr>
          <w:rFonts w:eastAsia="Calibri" w:cs="Arial"/>
          <w:szCs w:val="24"/>
        </w:rPr>
        <w:t>:</w:t>
      </w:r>
    </w:p>
    <w:p w14:paraId="568A05C6" w14:textId="77777777" w:rsidR="001E2792" w:rsidRDefault="001E2792" w:rsidP="001E2792">
      <w:pPr>
        <w:pStyle w:val="ListParagraph"/>
        <w:numPr>
          <w:ilvl w:val="0"/>
          <w:numId w:val="13"/>
        </w:numPr>
        <w:ind w:left="851" w:hanging="284"/>
        <w:jc w:val="both"/>
        <w:rPr>
          <w:rFonts w:eastAsia="Calibri" w:cs="Arial"/>
          <w:bCs w:val="0"/>
          <w:szCs w:val="24"/>
        </w:rPr>
      </w:pPr>
      <w:r w:rsidRPr="00993528">
        <w:rPr>
          <w:rFonts w:eastAsia="Calibri" w:cs="Arial"/>
          <w:szCs w:val="24"/>
        </w:rPr>
        <w:t>Patient Safety Incident Investigation</w:t>
      </w:r>
    </w:p>
    <w:p w14:paraId="080C5C78" w14:textId="77777777" w:rsidR="001E2792" w:rsidRDefault="001E2792" w:rsidP="001E2792">
      <w:pPr>
        <w:pStyle w:val="ListParagraph"/>
        <w:numPr>
          <w:ilvl w:val="0"/>
          <w:numId w:val="13"/>
        </w:numPr>
        <w:ind w:left="851" w:hanging="284"/>
        <w:jc w:val="both"/>
        <w:rPr>
          <w:rFonts w:eastAsia="Calibri" w:cs="Arial"/>
          <w:bCs w:val="0"/>
          <w:szCs w:val="24"/>
        </w:rPr>
      </w:pPr>
      <w:r w:rsidRPr="00993528">
        <w:rPr>
          <w:rFonts w:eastAsia="Calibri" w:cs="Arial"/>
          <w:szCs w:val="24"/>
        </w:rPr>
        <w:t>A</w:t>
      </w:r>
      <w:r>
        <w:rPr>
          <w:rFonts w:eastAsia="Calibri" w:cs="Arial"/>
          <w:szCs w:val="24"/>
        </w:rPr>
        <w:t xml:space="preserve">fter </w:t>
      </w:r>
      <w:r w:rsidRPr="00993528">
        <w:rPr>
          <w:rFonts w:eastAsia="Calibri" w:cs="Arial"/>
          <w:szCs w:val="24"/>
        </w:rPr>
        <w:t>A</w:t>
      </w:r>
      <w:r>
        <w:rPr>
          <w:rFonts w:eastAsia="Calibri" w:cs="Arial"/>
          <w:szCs w:val="24"/>
        </w:rPr>
        <w:t xml:space="preserve">ction </w:t>
      </w:r>
      <w:r w:rsidRPr="00993528">
        <w:rPr>
          <w:rFonts w:eastAsia="Calibri" w:cs="Arial"/>
          <w:szCs w:val="24"/>
        </w:rPr>
        <w:t>R</w:t>
      </w:r>
      <w:r>
        <w:rPr>
          <w:rFonts w:eastAsia="Calibri" w:cs="Arial"/>
          <w:szCs w:val="24"/>
        </w:rPr>
        <w:t>eview</w:t>
      </w:r>
      <w:r w:rsidRPr="00993528">
        <w:rPr>
          <w:rFonts w:eastAsia="Calibri" w:cs="Arial"/>
          <w:szCs w:val="24"/>
        </w:rPr>
        <w:t>’s</w:t>
      </w:r>
    </w:p>
    <w:p w14:paraId="5D4416DF" w14:textId="77777777" w:rsidR="001E2792" w:rsidRDefault="001E2792" w:rsidP="001E2792">
      <w:pPr>
        <w:pStyle w:val="ListParagraph"/>
        <w:numPr>
          <w:ilvl w:val="0"/>
          <w:numId w:val="13"/>
        </w:numPr>
        <w:ind w:left="851" w:hanging="284"/>
        <w:jc w:val="both"/>
        <w:rPr>
          <w:rFonts w:eastAsia="Calibri" w:cs="Arial"/>
          <w:bCs w:val="0"/>
          <w:szCs w:val="24"/>
        </w:rPr>
      </w:pPr>
      <w:r w:rsidRPr="00993528">
        <w:rPr>
          <w:rFonts w:eastAsia="Calibri" w:cs="Arial"/>
          <w:szCs w:val="24"/>
        </w:rPr>
        <w:t>Patient Safety Audit</w:t>
      </w:r>
      <w:r>
        <w:rPr>
          <w:rFonts w:eastAsia="Calibri" w:cs="Arial"/>
          <w:szCs w:val="24"/>
        </w:rPr>
        <w:t>s</w:t>
      </w:r>
    </w:p>
    <w:p w14:paraId="182E5A75" w14:textId="77777777" w:rsidR="001E2792" w:rsidRDefault="001E2792" w:rsidP="001E2792">
      <w:pPr>
        <w:pStyle w:val="ListParagraph"/>
        <w:numPr>
          <w:ilvl w:val="0"/>
          <w:numId w:val="13"/>
        </w:numPr>
        <w:ind w:left="851" w:hanging="284"/>
        <w:jc w:val="both"/>
        <w:rPr>
          <w:rFonts w:eastAsia="Calibri" w:cs="Arial"/>
          <w:bCs w:val="0"/>
          <w:szCs w:val="24"/>
        </w:rPr>
      </w:pPr>
      <w:r>
        <w:rPr>
          <w:rFonts w:eastAsia="Calibri" w:cs="Arial"/>
          <w:szCs w:val="24"/>
        </w:rPr>
        <w:t>Reviews of Deaths</w:t>
      </w:r>
    </w:p>
    <w:p w14:paraId="4550EE21" w14:textId="77777777" w:rsidR="001E2792" w:rsidRDefault="001E2792" w:rsidP="001E2792">
      <w:pPr>
        <w:pStyle w:val="ListParagraph"/>
        <w:numPr>
          <w:ilvl w:val="0"/>
          <w:numId w:val="13"/>
        </w:numPr>
        <w:ind w:left="851" w:hanging="284"/>
        <w:jc w:val="both"/>
        <w:rPr>
          <w:rFonts w:eastAsia="Calibri" w:cs="Arial"/>
          <w:bCs w:val="0"/>
          <w:szCs w:val="24"/>
        </w:rPr>
      </w:pPr>
      <w:r>
        <w:rPr>
          <w:rFonts w:eastAsia="Calibri" w:cs="Arial"/>
          <w:szCs w:val="24"/>
        </w:rPr>
        <w:t>Safeguarding Notifications</w:t>
      </w:r>
    </w:p>
    <w:p w14:paraId="4CCC4799" w14:textId="77777777" w:rsidR="001E2792" w:rsidRPr="00E11009" w:rsidRDefault="001E2792" w:rsidP="001E2792">
      <w:pPr>
        <w:pStyle w:val="ListParagraph"/>
        <w:ind w:left="851"/>
        <w:jc w:val="both"/>
        <w:rPr>
          <w:rFonts w:eastAsia="Calibri" w:cs="Arial"/>
          <w:bCs w:val="0"/>
          <w:sz w:val="16"/>
          <w:szCs w:val="16"/>
        </w:rPr>
      </w:pPr>
    </w:p>
    <w:p w14:paraId="53E389BA"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Results from monitoring of improvement plans from an implementation and an efficacy point of view</w:t>
      </w:r>
    </w:p>
    <w:p w14:paraId="5B2799E8" w14:textId="77777777" w:rsidR="001E2792" w:rsidRPr="0031505F" w:rsidRDefault="001E2792" w:rsidP="001E2792">
      <w:pPr>
        <w:contextualSpacing/>
        <w:jc w:val="both"/>
        <w:rPr>
          <w:rFonts w:eastAsia="Calibri" w:cs="Arial"/>
          <w:bCs w:val="0"/>
          <w:sz w:val="20"/>
          <w:szCs w:val="20"/>
        </w:rPr>
      </w:pPr>
    </w:p>
    <w:p w14:paraId="1948445B" w14:textId="77777777" w:rsidR="001E2792"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 xml:space="preserve">Results of </w:t>
      </w:r>
      <w:r>
        <w:rPr>
          <w:rFonts w:eastAsia="Calibri" w:cs="Arial"/>
          <w:szCs w:val="24"/>
        </w:rPr>
        <w:t xml:space="preserve">patient </w:t>
      </w:r>
      <w:r w:rsidRPr="0031505F">
        <w:rPr>
          <w:rFonts w:eastAsia="Calibri" w:cs="Arial"/>
          <w:szCs w:val="24"/>
        </w:rPr>
        <w:t>surveys and/or feedback from patients/families/carers on their experiences of the organisation’s response to patient safety incidents</w:t>
      </w:r>
    </w:p>
    <w:p w14:paraId="04732031" w14:textId="77777777" w:rsidR="001E2792" w:rsidRPr="0031505F" w:rsidRDefault="001E2792" w:rsidP="001E2792">
      <w:pPr>
        <w:contextualSpacing/>
        <w:jc w:val="both"/>
        <w:rPr>
          <w:rFonts w:eastAsia="Calibri" w:cs="Arial"/>
          <w:bCs w:val="0"/>
          <w:sz w:val="20"/>
          <w:szCs w:val="20"/>
        </w:rPr>
      </w:pPr>
    </w:p>
    <w:p w14:paraId="4FA6B611" w14:textId="77777777" w:rsidR="001E2792" w:rsidRPr="00514D27" w:rsidRDefault="001E2792" w:rsidP="001E2792">
      <w:pPr>
        <w:numPr>
          <w:ilvl w:val="0"/>
          <w:numId w:val="11"/>
        </w:numPr>
        <w:ind w:left="578"/>
        <w:contextualSpacing/>
        <w:jc w:val="both"/>
        <w:rPr>
          <w:rFonts w:eastAsia="Calibri" w:cs="Arial"/>
          <w:bCs w:val="0"/>
          <w:szCs w:val="24"/>
        </w:rPr>
      </w:pPr>
      <w:r w:rsidRPr="0031505F">
        <w:rPr>
          <w:rFonts w:eastAsia="Calibri" w:cs="Arial"/>
          <w:szCs w:val="24"/>
        </w:rPr>
        <w:t xml:space="preserve">Results of </w:t>
      </w:r>
      <w:r>
        <w:rPr>
          <w:rFonts w:eastAsia="Calibri" w:cs="Arial"/>
          <w:szCs w:val="24"/>
        </w:rPr>
        <w:t xml:space="preserve">staff </w:t>
      </w:r>
      <w:r w:rsidRPr="0031505F">
        <w:rPr>
          <w:rFonts w:eastAsia="Calibri" w:cs="Arial"/>
          <w:szCs w:val="24"/>
        </w:rPr>
        <w:t xml:space="preserve">surveys </w:t>
      </w:r>
      <w:r>
        <w:rPr>
          <w:rFonts w:eastAsia="Calibri" w:cs="Arial"/>
          <w:szCs w:val="24"/>
        </w:rPr>
        <w:t xml:space="preserve">and freedom to speak up reports </w:t>
      </w:r>
      <w:r w:rsidRPr="0031505F">
        <w:rPr>
          <w:rFonts w:eastAsia="Calibri" w:cs="Arial"/>
          <w:szCs w:val="24"/>
        </w:rPr>
        <w:t>and/or feedback from staff on their experiences of the organisation’s response to patient safety incidents.</w:t>
      </w:r>
    </w:p>
    <w:p w14:paraId="0299E00B" w14:textId="77777777" w:rsidR="00514D27" w:rsidRDefault="00514D27" w:rsidP="00514D27">
      <w:pPr>
        <w:pStyle w:val="ListParagraph"/>
        <w:rPr>
          <w:rFonts w:eastAsia="Calibri" w:cs="Arial"/>
          <w:bCs w:val="0"/>
          <w:szCs w:val="24"/>
        </w:rPr>
      </w:pPr>
    </w:p>
    <w:p w14:paraId="434100F7" w14:textId="77777777" w:rsidR="00514D27" w:rsidRPr="00514D27" w:rsidRDefault="00514D27" w:rsidP="00514D27">
      <w:pPr>
        <w:rPr>
          <w:rFonts w:asciiTheme="minorHAnsi" w:hAnsiTheme="minorHAnsi" w:cstheme="minorHAnsi"/>
          <w:b/>
          <w:caps/>
          <w:szCs w:val="24"/>
        </w:rPr>
      </w:pPr>
      <w:r w:rsidRPr="00514D27">
        <w:rPr>
          <w:rFonts w:asciiTheme="minorHAnsi" w:hAnsiTheme="minorHAnsi" w:cstheme="minorHAnsi"/>
          <w:b/>
          <w:caps/>
          <w:szCs w:val="24"/>
        </w:rPr>
        <w:t>Accessibility Statement</w:t>
      </w:r>
    </w:p>
    <w:p w14:paraId="305301FA" w14:textId="786D0094" w:rsidR="00514D27" w:rsidRPr="00514D27" w:rsidRDefault="00514D27" w:rsidP="00514D27">
      <w:pPr>
        <w:rPr>
          <w:rFonts w:asciiTheme="minorHAnsi" w:hAnsiTheme="minorHAnsi" w:cstheme="minorHAnsi"/>
        </w:rPr>
      </w:pPr>
      <w:r w:rsidRPr="00514D27">
        <w:rPr>
          <w:rFonts w:asciiTheme="minorHAnsi" w:hAnsiTheme="minorHAnsi" w:cstheme="minorHAnsi"/>
        </w:rPr>
        <w:t xml:space="preserve">This document can be made available in a range of alternative formats e.g., large print, Braille, and audio cd.  For more details, please contact the HR Department on 01942 77 3766 or email </w:t>
      </w:r>
      <w:hyperlink r:id="rId16" w:history="1">
        <w:r w:rsidRPr="00514D27">
          <w:rPr>
            <w:rStyle w:val="Hyperlink"/>
            <w:rFonts w:asciiTheme="minorHAnsi" w:hAnsiTheme="minorHAnsi" w:cstheme="minorHAnsi"/>
          </w:rPr>
          <w:t>equalityanddiversity@wwl.nhs.uk</w:t>
        </w:r>
      </w:hyperlink>
    </w:p>
    <w:p w14:paraId="49A381D7" w14:textId="77777777" w:rsidR="001E2792" w:rsidRDefault="001E2792" w:rsidP="001E2792"/>
    <w:p w14:paraId="20B902E1" w14:textId="77777777" w:rsidR="001E2792" w:rsidRDefault="001E2792" w:rsidP="001E2792"/>
    <w:p w14:paraId="74B0292F" w14:textId="77777777" w:rsidR="001E2792" w:rsidRDefault="001E2792" w:rsidP="001E2792"/>
    <w:p w14:paraId="2528D9CD" w14:textId="77777777" w:rsidR="001E2792" w:rsidRDefault="001E2792" w:rsidP="001E2792"/>
    <w:p w14:paraId="2B384C57" w14:textId="77777777" w:rsidR="001E2792" w:rsidRDefault="001E2792" w:rsidP="001E2792"/>
    <w:p w14:paraId="29D5684B" w14:textId="77777777" w:rsidR="001E2792" w:rsidRDefault="001E2792" w:rsidP="001E2792"/>
    <w:p w14:paraId="7B0ED20B" w14:textId="77777777" w:rsidR="001E2792" w:rsidRDefault="001E2792" w:rsidP="001E2792"/>
    <w:p w14:paraId="029CF72C" w14:textId="77777777" w:rsidR="001E2792" w:rsidRDefault="001E2792" w:rsidP="001E2792"/>
    <w:p w14:paraId="5AC2FA2C" w14:textId="77777777" w:rsidR="001E2792" w:rsidRDefault="001E2792" w:rsidP="001E2792"/>
    <w:p w14:paraId="050443C1" w14:textId="77777777" w:rsidR="001E2792" w:rsidRDefault="001E2792" w:rsidP="001E2792"/>
    <w:p w14:paraId="0FA7FE76" w14:textId="77777777" w:rsidR="001E2792" w:rsidRDefault="001E2792" w:rsidP="001E2792"/>
    <w:p w14:paraId="3AD9A2F3" w14:textId="77777777" w:rsidR="001E2792" w:rsidRDefault="001E2792" w:rsidP="001E2792"/>
    <w:p w14:paraId="4A4D12F4" w14:textId="77777777" w:rsidR="00B12559" w:rsidRDefault="00B12559" w:rsidP="001E2792"/>
    <w:p w14:paraId="09DCE9D8" w14:textId="77777777" w:rsidR="001E2792" w:rsidRDefault="001E2792" w:rsidP="001E2792"/>
    <w:p w14:paraId="7B03B6B7" w14:textId="77777777" w:rsidR="00DC4755" w:rsidRDefault="00DC4755" w:rsidP="001E2792"/>
    <w:p w14:paraId="588593F9" w14:textId="77777777" w:rsidR="001E2792" w:rsidRPr="00F07498" w:rsidRDefault="001E2792" w:rsidP="001E2792">
      <w:pPr>
        <w:pStyle w:val="Default"/>
        <w:ind w:hanging="426"/>
        <w:rPr>
          <w:rFonts w:ascii="Calibri" w:hAnsi="Calibri" w:cs="Calibri"/>
          <w:color w:val="0058B0"/>
          <w:sz w:val="36"/>
          <w:szCs w:val="36"/>
        </w:rPr>
      </w:pPr>
      <w:bookmarkStart w:id="16" w:name="_Hlk140066985"/>
      <w:r w:rsidRPr="00F07498">
        <w:rPr>
          <w:rFonts w:ascii="Calibri" w:hAnsi="Calibri" w:cs="Calibri"/>
          <w:color w:val="0058B0"/>
          <w:sz w:val="36"/>
          <w:szCs w:val="36"/>
        </w:rPr>
        <w:t xml:space="preserve">Annex </w:t>
      </w:r>
      <w:bookmarkEnd w:id="16"/>
      <w:r w:rsidRPr="00F07498">
        <w:rPr>
          <w:rFonts w:ascii="Calibri" w:hAnsi="Calibri" w:cs="Calibri"/>
          <w:color w:val="0058B0"/>
          <w:sz w:val="36"/>
          <w:szCs w:val="36"/>
        </w:rPr>
        <w:t xml:space="preserve">1:    Glossary </w:t>
      </w:r>
    </w:p>
    <w:p w14:paraId="178A9D4A" w14:textId="77777777" w:rsidR="001E2792" w:rsidRDefault="001E2792" w:rsidP="001E2792">
      <w:pPr>
        <w:pStyle w:val="Default"/>
        <w:rPr>
          <w:sz w:val="44"/>
          <w:szCs w:val="44"/>
        </w:rPr>
      </w:pPr>
    </w:p>
    <w:tbl>
      <w:tblPr>
        <w:tblStyle w:val="TableGrid"/>
        <w:tblW w:w="9782" w:type="dxa"/>
        <w:tblInd w:w="-431" w:type="dxa"/>
        <w:tblLayout w:type="fixed"/>
        <w:tblLook w:val="04A0" w:firstRow="1" w:lastRow="0" w:firstColumn="1" w:lastColumn="0" w:noHBand="0" w:noVBand="1"/>
      </w:tblPr>
      <w:tblGrid>
        <w:gridCol w:w="1844"/>
        <w:gridCol w:w="7938"/>
      </w:tblGrid>
      <w:tr w:rsidR="001E2792" w:rsidRPr="001E2792" w14:paraId="2CF11CC9" w14:textId="77777777" w:rsidTr="002B7D5F">
        <w:trPr>
          <w:trHeight w:val="1531"/>
        </w:trPr>
        <w:tc>
          <w:tcPr>
            <w:tcW w:w="1844" w:type="dxa"/>
            <w:vAlign w:val="center"/>
          </w:tcPr>
          <w:p w14:paraId="3BC0CD97" w14:textId="77777777" w:rsidR="001E2792" w:rsidRPr="001E2792" w:rsidRDefault="001E2792" w:rsidP="001E2792">
            <w:pPr>
              <w:pStyle w:val="TOC1"/>
              <w:numPr>
                <w:ilvl w:val="0"/>
                <w:numId w:val="14"/>
              </w:numPr>
              <w:jc w:val="center"/>
              <w:rPr>
                <w:rFonts w:asciiTheme="minorHAnsi" w:hAnsiTheme="minorHAnsi" w:cstheme="minorHAnsi"/>
                <w:b/>
                <w:color w:val="0058B0"/>
              </w:rPr>
            </w:pPr>
            <w:bookmarkStart w:id="17" w:name="_Hlk140069460"/>
            <w:r w:rsidRPr="001E2792">
              <w:rPr>
                <w:rFonts w:asciiTheme="minorHAnsi" w:hAnsiTheme="minorHAnsi" w:cstheme="minorHAnsi"/>
                <w:b/>
                <w:color w:val="0058B0"/>
              </w:rPr>
              <w:t>Patient Safety Incident Investigation</w:t>
            </w:r>
          </w:p>
          <w:bookmarkEnd w:id="17"/>
          <w:p w14:paraId="6E9BEC0D"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(PSII)</w:t>
            </w:r>
          </w:p>
        </w:tc>
        <w:tc>
          <w:tcPr>
            <w:tcW w:w="7938" w:type="dxa"/>
            <w:vAlign w:val="center"/>
          </w:tcPr>
          <w:p w14:paraId="6EBB9286"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PSIIs are conducted to identify underlying system factors that contributed to an incident. These findings are then used to identify effective, sustainable improvements by combining learning across multiple patient safety incident investigations and other responses into a similar incident type. Recommendations and improvement plans are then designed to address those system factors and help deliver safer care for our patients effectively and sustainably. </w:t>
            </w:r>
          </w:p>
        </w:tc>
      </w:tr>
      <w:tr w:rsidR="001E2792" w:rsidRPr="001E2792" w14:paraId="1B903514" w14:textId="77777777" w:rsidTr="002B7D5F">
        <w:trPr>
          <w:trHeight w:val="987"/>
        </w:trPr>
        <w:tc>
          <w:tcPr>
            <w:tcW w:w="1844" w:type="dxa"/>
            <w:vAlign w:val="center"/>
          </w:tcPr>
          <w:p w14:paraId="38EA1978"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Patient Safety Incident Response Framework</w:t>
            </w:r>
          </w:p>
          <w:p w14:paraId="07DFF141"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(PSIRF)</w:t>
            </w:r>
          </w:p>
        </w:tc>
        <w:tc>
          <w:tcPr>
            <w:tcW w:w="7938" w:type="dxa"/>
            <w:vAlign w:val="center"/>
          </w:tcPr>
          <w:p w14:paraId="35370A3A"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Building on evidence gathered and wider industry best-practice, the PSIRF is designed to enable a risk-based approach to responding to patient safety incidents, prioritising support for those affected, effectively analysing incidents, and sustainably reducing future risk. </w:t>
            </w:r>
          </w:p>
        </w:tc>
      </w:tr>
      <w:tr w:rsidR="001E2792" w:rsidRPr="001E2792" w14:paraId="5F366B37" w14:textId="77777777" w:rsidTr="002B7D5F">
        <w:trPr>
          <w:trHeight w:val="987"/>
        </w:trPr>
        <w:tc>
          <w:tcPr>
            <w:tcW w:w="1844" w:type="dxa"/>
            <w:vAlign w:val="center"/>
          </w:tcPr>
          <w:p w14:paraId="06510A39"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Patient Safety Incident Response plan</w:t>
            </w:r>
          </w:p>
          <w:p w14:paraId="6E01EAE5" w14:textId="77777777" w:rsidR="001E2792" w:rsidRPr="001E2792" w:rsidRDefault="001E2792" w:rsidP="002B7D5F">
            <w:pPr>
              <w:pStyle w:val="Default"/>
              <w:jc w:val="center"/>
              <w:rPr>
                <w:rFonts w:asciiTheme="minorHAnsi" w:hAnsiTheme="minorHAnsi" w:cstheme="minorHAnsi"/>
                <w:color w:val="0058B0"/>
                <w:szCs w:val="20"/>
              </w:rPr>
            </w:pPr>
            <w:r w:rsidRPr="001E2792">
              <w:rPr>
                <w:rFonts w:asciiTheme="minorHAnsi" w:hAnsiTheme="minorHAnsi" w:cstheme="minorHAnsi"/>
                <w:b/>
                <w:color w:val="0058B0"/>
                <w:szCs w:val="20"/>
              </w:rPr>
              <w:t>(PSIRP)</w:t>
            </w:r>
          </w:p>
        </w:tc>
        <w:tc>
          <w:tcPr>
            <w:tcW w:w="7938" w:type="dxa"/>
            <w:vAlign w:val="center"/>
          </w:tcPr>
          <w:p w14:paraId="5A9D4A40"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Our local plan sets out how we will carry out the PSIRF locally including our list of local priorities. These have been developed through a coproduction approach with the divisions and specialist risk leads supported by analysis of local data. </w:t>
            </w:r>
          </w:p>
        </w:tc>
      </w:tr>
      <w:tr w:rsidR="001E2792" w:rsidRPr="001E2792" w14:paraId="5918B457" w14:textId="77777777" w:rsidTr="002B7D5F">
        <w:trPr>
          <w:trHeight w:val="850"/>
        </w:trPr>
        <w:tc>
          <w:tcPr>
            <w:tcW w:w="1844" w:type="dxa"/>
            <w:vAlign w:val="center"/>
          </w:tcPr>
          <w:p w14:paraId="45BC0162"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After Action Review (AAR)</w:t>
            </w:r>
          </w:p>
        </w:tc>
        <w:tc>
          <w:tcPr>
            <w:tcW w:w="7938" w:type="dxa"/>
            <w:vAlign w:val="center"/>
          </w:tcPr>
          <w:p w14:paraId="588DF5BA"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A method of evaluation that is used when outcomes of an activity or event have been particularly successful or unsuccessful. It aims to capture learning from these to identify the opportunities to improve and increase to occasions where success occurs. </w:t>
            </w:r>
          </w:p>
        </w:tc>
      </w:tr>
      <w:tr w:rsidR="001E2792" w:rsidRPr="001E2792" w14:paraId="11409889" w14:textId="77777777" w:rsidTr="002B7D5F">
        <w:trPr>
          <w:trHeight w:val="850"/>
        </w:trPr>
        <w:tc>
          <w:tcPr>
            <w:tcW w:w="1844" w:type="dxa"/>
            <w:vAlign w:val="center"/>
          </w:tcPr>
          <w:p w14:paraId="23CB4A4B" w14:textId="77777777" w:rsidR="001E2792" w:rsidRPr="001E2792" w:rsidRDefault="001E2792" w:rsidP="002B7D5F">
            <w:pPr>
              <w:pStyle w:val="Default"/>
              <w:jc w:val="center"/>
              <w:rPr>
                <w:rFonts w:asciiTheme="minorHAnsi" w:hAnsiTheme="minorHAnsi" w:cstheme="minorHAnsi"/>
                <w:b/>
                <w:bCs/>
                <w:color w:val="0058B0"/>
                <w:szCs w:val="20"/>
              </w:rPr>
            </w:pPr>
            <w:bookmarkStart w:id="18" w:name="_Hlk140069497"/>
            <w:r w:rsidRPr="001E2792">
              <w:rPr>
                <w:rFonts w:asciiTheme="minorHAnsi" w:hAnsiTheme="minorHAnsi" w:cstheme="minorHAnsi"/>
                <w:b/>
                <w:color w:val="0058B0"/>
                <w:szCs w:val="20"/>
              </w:rPr>
              <w:t>Patient Safety Audit</w:t>
            </w:r>
          </w:p>
          <w:bookmarkEnd w:id="18"/>
          <w:p w14:paraId="48EDED2C"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(PSA)</w:t>
            </w:r>
          </w:p>
        </w:tc>
        <w:tc>
          <w:tcPr>
            <w:tcW w:w="7938" w:type="dxa"/>
            <w:vAlign w:val="center"/>
          </w:tcPr>
          <w:p w14:paraId="6AB08739"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A review of a series of cases (of the same incident type) using clinical audit methodology to identify where there is an opportunity to improve and more consistently achieve the required standards (e.g. in a policy or guideline). </w:t>
            </w:r>
          </w:p>
        </w:tc>
      </w:tr>
      <w:tr w:rsidR="001E2792" w:rsidRPr="001E2792" w14:paraId="36D24168" w14:textId="77777777" w:rsidTr="002B7D5F">
        <w:trPr>
          <w:trHeight w:val="1644"/>
        </w:trPr>
        <w:tc>
          <w:tcPr>
            <w:tcW w:w="1844" w:type="dxa"/>
            <w:vAlign w:val="center"/>
          </w:tcPr>
          <w:p w14:paraId="762878C9" w14:textId="77777777" w:rsidR="001E2792" w:rsidRPr="001E2792" w:rsidRDefault="001E2792" w:rsidP="002B7D5F">
            <w:pPr>
              <w:pStyle w:val="Default"/>
              <w:jc w:val="center"/>
              <w:rPr>
                <w:rFonts w:asciiTheme="minorHAnsi" w:hAnsiTheme="minorHAnsi" w:cstheme="minorHAnsi"/>
                <w:b/>
                <w:bCs/>
                <w:color w:val="0058B0"/>
                <w:szCs w:val="20"/>
              </w:rPr>
            </w:pPr>
            <w:bookmarkStart w:id="19" w:name="_Hlk139626957"/>
            <w:r w:rsidRPr="001E2792">
              <w:rPr>
                <w:rFonts w:asciiTheme="minorHAnsi" w:hAnsiTheme="minorHAnsi" w:cstheme="minorHAnsi"/>
                <w:b/>
                <w:color w:val="0058B0"/>
                <w:szCs w:val="20"/>
              </w:rPr>
              <w:t>Perinatal Mortality Review Tool</w:t>
            </w:r>
          </w:p>
          <w:p w14:paraId="09AEBFFE"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(PMRT)</w:t>
            </w:r>
            <w:bookmarkEnd w:id="19"/>
          </w:p>
        </w:tc>
        <w:tc>
          <w:tcPr>
            <w:tcW w:w="7938" w:type="dxa"/>
            <w:vAlign w:val="center"/>
          </w:tcPr>
          <w:p w14:paraId="10082840"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Developed through a collaboration led by MBRRACE-UK with user and parent involvement, the PMRT ensures systematic, multidisciplinary, </w:t>
            </w:r>
            <w:proofErr w:type="gramStart"/>
            <w:r w:rsidRPr="001E2792">
              <w:rPr>
                <w:rFonts w:asciiTheme="minorHAnsi" w:hAnsiTheme="minorHAnsi" w:cstheme="minorHAnsi"/>
                <w:szCs w:val="20"/>
              </w:rPr>
              <w:t>high quality</w:t>
            </w:r>
            <w:proofErr w:type="gramEnd"/>
            <w:r w:rsidRPr="001E2792">
              <w:rPr>
                <w:rFonts w:asciiTheme="minorHAnsi" w:hAnsiTheme="minorHAnsi" w:cstheme="minorHAnsi"/>
                <w:szCs w:val="20"/>
              </w:rPr>
              <w:t xml:space="preserve"> reviews of the circumstances and care leading up to and surrounding each stillbirth and neonatal death, and the deaths of babies who die in the post-neonatal period having received neonatal care.</w:t>
            </w:r>
          </w:p>
          <w:p w14:paraId="23FCE2D6" w14:textId="77777777" w:rsidR="001E2792" w:rsidRPr="001E2792" w:rsidRDefault="001E2792" w:rsidP="002B7D5F">
            <w:pPr>
              <w:pStyle w:val="Default"/>
              <w:jc w:val="both"/>
              <w:rPr>
                <w:rFonts w:asciiTheme="minorHAnsi" w:hAnsiTheme="minorHAnsi" w:cstheme="minorHAnsi"/>
                <w:sz w:val="8"/>
                <w:szCs w:val="8"/>
              </w:rPr>
            </w:pPr>
          </w:p>
          <w:p w14:paraId="3796FF70"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Perinatal Mortality Review Tool | NPEU (ox.ac.uk)</w:t>
            </w:r>
          </w:p>
        </w:tc>
      </w:tr>
      <w:tr w:rsidR="001E2792" w:rsidRPr="001E2792" w14:paraId="03E1F701" w14:textId="77777777" w:rsidTr="002B7D5F">
        <w:tc>
          <w:tcPr>
            <w:tcW w:w="1844" w:type="dxa"/>
            <w:vAlign w:val="center"/>
          </w:tcPr>
          <w:p w14:paraId="3B2404D4" w14:textId="77777777" w:rsidR="001E2792" w:rsidRPr="001E2792" w:rsidRDefault="001E2792" w:rsidP="002B7D5F">
            <w:pPr>
              <w:pStyle w:val="Default"/>
              <w:jc w:val="center"/>
              <w:rPr>
                <w:rFonts w:asciiTheme="minorHAnsi" w:hAnsiTheme="minorHAnsi" w:cstheme="minorHAnsi"/>
                <w:b/>
                <w:bCs/>
                <w:color w:val="0058B0"/>
                <w:szCs w:val="20"/>
              </w:rPr>
            </w:pPr>
            <w:bookmarkStart w:id="20" w:name="_Hlk139626980"/>
            <w:r w:rsidRPr="001E2792">
              <w:rPr>
                <w:rFonts w:asciiTheme="minorHAnsi" w:hAnsiTheme="minorHAnsi" w:cstheme="minorHAnsi"/>
                <w:b/>
                <w:color w:val="0058B0"/>
                <w:szCs w:val="20"/>
              </w:rPr>
              <w:t>Structured Judgement Review</w:t>
            </w:r>
          </w:p>
          <w:bookmarkEnd w:id="20"/>
          <w:p w14:paraId="6FDA0EE1" w14:textId="77777777" w:rsidR="001E2792" w:rsidRPr="001E2792" w:rsidRDefault="001E2792" w:rsidP="002B7D5F">
            <w:pPr>
              <w:pStyle w:val="Default"/>
              <w:jc w:val="center"/>
              <w:rPr>
                <w:rFonts w:asciiTheme="minorHAnsi" w:hAnsiTheme="minorHAnsi" w:cstheme="minorHAnsi"/>
                <w:b/>
                <w:bCs/>
                <w:color w:val="0058B0"/>
                <w:szCs w:val="20"/>
              </w:rPr>
            </w:pPr>
            <w:r w:rsidRPr="001E2792">
              <w:rPr>
                <w:rFonts w:asciiTheme="minorHAnsi" w:hAnsiTheme="minorHAnsi" w:cstheme="minorHAnsi"/>
                <w:b/>
                <w:color w:val="0058B0"/>
                <w:szCs w:val="20"/>
              </w:rPr>
              <w:t>(SJR)</w:t>
            </w:r>
          </w:p>
          <w:p w14:paraId="1B79D416" w14:textId="77777777" w:rsidR="001E2792" w:rsidRPr="001E2792" w:rsidRDefault="001E2792" w:rsidP="002B7D5F">
            <w:pPr>
              <w:pStyle w:val="Default"/>
              <w:jc w:val="center"/>
              <w:rPr>
                <w:rFonts w:asciiTheme="minorHAnsi" w:hAnsiTheme="minorHAnsi" w:cstheme="minorHAnsi"/>
                <w:color w:val="0058B0"/>
                <w:sz w:val="44"/>
                <w:szCs w:val="44"/>
              </w:rPr>
            </w:pPr>
          </w:p>
        </w:tc>
        <w:tc>
          <w:tcPr>
            <w:tcW w:w="7938" w:type="dxa"/>
            <w:vAlign w:val="center"/>
          </w:tcPr>
          <w:p w14:paraId="2BCA1DB2" w14:textId="77777777" w:rsidR="001E2792" w:rsidRPr="001E2792" w:rsidRDefault="001E2792" w:rsidP="002B7D5F">
            <w:pPr>
              <w:pStyle w:val="Default"/>
              <w:jc w:val="both"/>
              <w:rPr>
                <w:rFonts w:asciiTheme="minorHAnsi" w:hAnsiTheme="minorHAnsi" w:cstheme="minorHAnsi"/>
                <w:color w:val="auto"/>
                <w:szCs w:val="20"/>
              </w:rPr>
            </w:pPr>
            <w:r w:rsidRPr="001E2792">
              <w:rPr>
                <w:rFonts w:asciiTheme="minorHAnsi" w:hAnsiTheme="minorHAnsi" w:cstheme="minorHAnsi"/>
                <w:szCs w:val="20"/>
              </w:rPr>
              <w:lastRenderedPageBreak/>
              <w:t xml:space="preserve">Developed by the Royal College of Physicians as part of the National quality board national guidance on learning from deaths; the SJR blends traditional, clinical </w:t>
            </w:r>
            <w:proofErr w:type="gramStart"/>
            <w:r w:rsidRPr="001E2792">
              <w:rPr>
                <w:rFonts w:asciiTheme="minorHAnsi" w:hAnsiTheme="minorHAnsi" w:cstheme="minorHAnsi"/>
                <w:szCs w:val="20"/>
              </w:rPr>
              <w:t>judgement based</w:t>
            </w:r>
            <w:proofErr w:type="gramEnd"/>
            <w:r w:rsidRPr="001E2792">
              <w:rPr>
                <w:rFonts w:asciiTheme="minorHAnsi" w:hAnsiTheme="minorHAnsi" w:cstheme="minorHAnsi"/>
                <w:szCs w:val="20"/>
              </w:rPr>
              <w:t xml:space="preserve"> review methods with a standard format. This approach requires reviewers to make safety and quality judgements over phases of care, </w:t>
            </w:r>
            <w:r w:rsidRPr="001E2792">
              <w:rPr>
                <w:rFonts w:asciiTheme="minorHAnsi" w:hAnsiTheme="minorHAnsi" w:cstheme="minorHAnsi"/>
                <w:szCs w:val="20"/>
              </w:rPr>
              <w:lastRenderedPageBreak/>
              <w:t xml:space="preserve">to make explicit written comments about care for each phase, and to score care for each phase </w:t>
            </w:r>
          </w:p>
        </w:tc>
      </w:tr>
      <w:tr w:rsidR="001E2792" w:rsidRPr="001E2792" w14:paraId="5F7561A2" w14:textId="77777777" w:rsidTr="002B7D5F">
        <w:trPr>
          <w:trHeight w:val="1134"/>
        </w:trPr>
        <w:tc>
          <w:tcPr>
            <w:tcW w:w="1844" w:type="dxa"/>
            <w:vAlign w:val="center"/>
          </w:tcPr>
          <w:p w14:paraId="0ECDA3D4" w14:textId="77777777" w:rsidR="001E2792" w:rsidRPr="001E2792" w:rsidRDefault="001E2792" w:rsidP="002B7D5F">
            <w:pPr>
              <w:pStyle w:val="Default"/>
              <w:jc w:val="center"/>
              <w:rPr>
                <w:rFonts w:asciiTheme="minorHAnsi" w:hAnsiTheme="minorHAnsi" w:cstheme="minorHAnsi"/>
                <w:color w:val="0058B0"/>
                <w:szCs w:val="20"/>
              </w:rPr>
            </w:pPr>
            <w:r w:rsidRPr="001E2792">
              <w:rPr>
                <w:rFonts w:asciiTheme="minorHAnsi" w:hAnsiTheme="minorHAnsi" w:cstheme="minorHAnsi"/>
                <w:b/>
                <w:color w:val="0058B0"/>
                <w:szCs w:val="20"/>
              </w:rPr>
              <w:lastRenderedPageBreak/>
              <w:t>Never Event</w:t>
            </w:r>
          </w:p>
          <w:p w14:paraId="0212B3EB" w14:textId="77777777" w:rsidR="001E2792" w:rsidRPr="001E2792" w:rsidRDefault="001E2792" w:rsidP="002B7D5F">
            <w:pPr>
              <w:pStyle w:val="Default"/>
              <w:jc w:val="center"/>
              <w:rPr>
                <w:rFonts w:asciiTheme="minorHAnsi" w:hAnsiTheme="minorHAnsi" w:cstheme="minorHAnsi"/>
                <w:color w:val="0058B0"/>
                <w:szCs w:val="20"/>
              </w:rPr>
            </w:pPr>
          </w:p>
        </w:tc>
        <w:tc>
          <w:tcPr>
            <w:tcW w:w="7938" w:type="dxa"/>
            <w:vAlign w:val="center"/>
          </w:tcPr>
          <w:p w14:paraId="228CDED1"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Patient safety incidents that </w:t>
            </w:r>
            <w:proofErr w:type="gramStart"/>
            <w:r w:rsidRPr="001E2792">
              <w:rPr>
                <w:rFonts w:asciiTheme="minorHAnsi" w:hAnsiTheme="minorHAnsi" w:cstheme="minorHAnsi"/>
                <w:szCs w:val="20"/>
              </w:rPr>
              <w:t>are considered to be</w:t>
            </w:r>
            <w:proofErr w:type="gramEnd"/>
            <w:r w:rsidRPr="001E2792">
              <w:rPr>
                <w:rFonts w:asciiTheme="minorHAnsi" w:hAnsiTheme="minorHAnsi" w:cstheme="minorHAnsi"/>
                <w:szCs w:val="20"/>
              </w:rPr>
              <w:t xml:space="preserve"> wholly preventable where guidance or safety recommendations that provide strong systemic protective barriers are available at a national level and have been implemented by healthcare providers.</w:t>
            </w:r>
          </w:p>
          <w:p w14:paraId="114CC45C" w14:textId="77777777" w:rsidR="001E2792" w:rsidRPr="001E2792" w:rsidRDefault="001E2792" w:rsidP="002B7D5F">
            <w:pPr>
              <w:pStyle w:val="Default"/>
              <w:jc w:val="both"/>
              <w:rPr>
                <w:rFonts w:asciiTheme="minorHAnsi" w:hAnsiTheme="minorHAnsi" w:cstheme="minorHAnsi"/>
                <w:sz w:val="8"/>
                <w:szCs w:val="8"/>
              </w:rPr>
            </w:pPr>
          </w:p>
          <w:p w14:paraId="4915AC07"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https://improvement.nhs.uk/documents/2266/Never_Events_list_2018_FINALv5.pdf</w:t>
            </w:r>
          </w:p>
        </w:tc>
      </w:tr>
      <w:tr w:rsidR="001E2792" w:rsidRPr="001E2792" w14:paraId="20E375ED" w14:textId="77777777" w:rsidTr="002B7D5F">
        <w:tc>
          <w:tcPr>
            <w:tcW w:w="1844" w:type="dxa"/>
            <w:vAlign w:val="center"/>
          </w:tcPr>
          <w:p w14:paraId="352F5C91" w14:textId="77777777" w:rsidR="001E2792" w:rsidRPr="001E2792" w:rsidRDefault="001E2792" w:rsidP="002B7D5F">
            <w:pPr>
              <w:pStyle w:val="Default"/>
              <w:jc w:val="center"/>
              <w:rPr>
                <w:rFonts w:asciiTheme="minorHAnsi" w:hAnsiTheme="minorHAnsi" w:cstheme="minorHAnsi"/>
                <w:color w:val="0058B0"/>
                <w:szCs w:val="20"/>
              </w:rPr>
            </w:pPr>
            <w:r w:rsidRPr="001E2792">
              <w:rPr>
                <w:rFonts w:asciiTheme="minorHAnsi" w:hAnsiTheme="minorHAnsi" w:cstheme="minorHAnsi"/>
                <w:b/>
                <w:color w:val="0058B0"/>
                <w:szCs w:val="20"/>
              </w:rPr>
              <w:t>Deaths thought more likely than not due to problems in care</w:t>
            </w:r>
          </w:p>
          <w:p w14:paraId="74FF02E9" w14:textId="77777777" w:rsidR="001E2792" w:rsidRPr="001E2792" w:rsidRDefault="001E2792" w:rsidP="002B7D5F">
            <w:pPr>
              <w:pStyle w:val="Default"/>
              <w:jc w:val="center"/>
              <w:rPr>
                <w:rFonts w:asciiTheme="minorHAnsi" w:hAnsiTheme="minorHAnsi" w:cstheme="minorHAnsi"/>
                <w:color w:val="0058B0"/>
                <w:szCs w:val="20"/>
              </w:rPr>
            </w:pPr>
          </w:p>
        </w:tc>
        <w:tc>
          <w:tcPr>
            <w:tcW w:w="7938" w:type="dxa"/>
            <w:vAlign w:val="center"/>
          </w:tcPr>
          <w:p w14:paraId="761F957C"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 xml:space="preserve">Incidents that meet the ‘Learning from Deaths’ criteria. Deaths clinically assessed as more likely than not due to problems in care - using a recognised method of case note review, conducted by a clinical specialist not involved in the patient’s care, and conducted either as part of a local </w:t>
            </w:r>
            <w:proofErr w:type="spellStart"/>
            <w:r w:rsidRPr="001E2792">
              <w:rPr>
                <w:rFonts w:asciiTheme="minorHAnsi" w:hAnsiTheme="minorHAnsi" w:cstheme="minorHAnsi"/>
                <w:szCs w:val="20"/>
              </w:rPr>
              <w:t>LfD</w:t>
            </w:r>
            <w:proofErr w:type="spellEnd"/>
            <w:r w:rsidRPr="001E2792">
              <w:rPr>
                <w:rFonts w:asciiTheme="minorHAnsi" w:hAnsiTheme="minorHAnsi" w:cstheme="minorHAnsi"/>
                <w:szCs w:val="20"/>
              </w:rPr>
              <w:t xml:space="preserve"> plan or following reported concerns about care or service delivery. </w:t>
            </w:r>
          </w:p>
          <w:p w14:paraId="34B6A52B" w14:textId="77777777" w:rsidR="001E2792" w:rsidRPr="001E2792" w:rsidRDefault="001E2792" w:rsidP="002B7D5F">
            <w:pPr>
              <w:pStyle w:val="Default"/>
              <w:jc w:val="both"/>
              <w:rPr>
                <w:rFonts w:asciiTheme="minorHAnsi" w:hAnsiTheme="minorHAnsi" w:cstheme="minorHAnsi"/>
                <w:sz w:val="8"/>
                <w:szCs w:val="8"/>
                <w:vertAlign w:val="subscript"/>
              </w:rPr>
            </w:pPr>
          </w:p>
          <w:p w14:paraId="5DEB247B" w14:textId="77777777" w:rsidR="001E2792" w:rsidRPr="001E2792" w:rsidRDefault="001E2792" w:rsidP="002B7D5F">
            <w:pPr>
              <w:pStyle w:val="Default"/>
              <w:jc w:val="both"/>
              <w:rPr>
                <w:rFonts w:asciiTheme="minorHAnsi" w:hAnsiTheme="minorHAnsi" w:cstheme="minorHAnsi"/>
                <w:szCs w:val="20"/>
              </w:rPr>
            </w:pPr>
            <w:r w:rsidRPr="001E2792">
              <w:rPr>
                <w:rFonts w:asciiTheme="minorHAnsi" w:hAnsiTheme="minorHAnsi" w:cstheme="minorHAnsi"/>
                <w:szCs w:val="20"/>
              </w:rPr>
              <w:t>nqb-national-guidance-learning-from-deaths.pdf (england.nhs.uk)</w:t>
            </w:r>
          </w:p>
        </w:tc>
      </w:tr>
    </w:tbl>
    <w:p w14:paraId="512FC682" w14:textId="77777777" w:rsidR="001E2792" w:rsidRDefault="001E2792" w:rsidP="001E2792">
      <w:pPr>
        <w:jc w:val="both"/>
        <w:rPr>
          <w:rFonts w:eastAsiaTheme="majorEastAsia" w:cstheme="majorBidi"/>
          <w:b/>
          <w:bCs w:val="0"/>
          <w:color w:val="FF0000"/>
          <w:szCs w:val="24"/>
        </w:rPr>
      </w:pPr>
    </w:p>
    <w:p w14:paraId="30DF5905" w14:textId="77777777" w:rsidR="001E2792" w:rsidRDefault="001E2792" w:rsidP="001E2792"/>
    <w:sectPr w:rsidR="001E2792" w:rsidSect="00267CD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33D9" w14:textId="77777777" w:rsidR="001F1251" w:rsidRDefault="001F1251" w:rsidP="001E2792">
      <w:r>
        <w:separator/>
      </w:r>
    </w:p>
  </w:endnote>
  <w:endnote w:type="continuationSeparator" w:id="0">
    <w:p w14:paraId="16802663" w14:textId="77777777" w:rsidR="001F1251" w:rsidRDefault="001F1251" w:rsidP="001E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CD00" w14:textId="77777777" w:rsidR="00514D27" w:rsidRDefault="00514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07919"/>
      <w:docPartObj>
        <w:docPartGallery w:val="Page Numbers (Bottom of Page)"/>
        <w:docPartUnique/>
      </w:docPartObj>
    </w:sdtPr>
    <w:sdtContent>
      <w:sdt>
        <w:sdtPr>
          <w:id w:val="-1769616900"/>
          <w:docPartObj>
            <w:docPartGallery w:val="Page Numbers (Top of Page)"/>
            <w:docPartUnique/>
          </w:docPartObj>
        </w:sdtPr>
        <w:sdtContent>
          <w:p w14:paraId="2DF75AF2" w14:textId="77777777" w:rsidR="002140C8" w:rsidRDefault="002140C8">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0568AF63" w14:textId="77777777" w:rsidR="001E2792" w:rsidRDefault="001E2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74C9" w14:textId="77777777" w:rsidR="00514D27" w:rsidRDefault="00514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E90CF" w14:textId="77777777" w:rsidR="001F1251" w:rsidRDefault="001F1251" w:rsidP="001E2792">
      <w:r>
        <w:separator/>
      </w:r>
    </w:p>
  </w:footnote>
  <w:footnote w:type="continuationSeparator" w:id="0">
    <w:p w14:paraId="40D23BE6" w14:textId="77777777" w:rsidR="001F1251" w:rsidRDefault="001F1251" w:rsidP="001E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C7C2" w14:textId="77777777" w:rsidR="00514D27" w:rsidRDefault="00514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0869" w14:textId="77777777" w:rsidR="00267CD5" w:rsidRDefault="00267CD5" w:rsidP="00267CD5">
    <w:pPr>
      <w:pStyle w:val="Header"/>
      <w:jc w:val="right"/>
      <w:rPr>
        <w:rFonts w:ascii="Arial" w:hAnsi="Arial" w:cs="Arial"/>
        <w:color w:val="999999"/>
        <w:sz w:val="18"/>
        <w:szCs w:val="18"/>
      </w:rPr>
    </w:pPr>
    <w:r>
      <w:rPr>
        <w:rFonts w:ascii="Arial" w:hAnsi="Arial" w:cs="Arial"/>
        <w:color w:val="999999"/>
        <w:sz w:val="18"/>
        <w:szCs w:val="18"/>
      </w:rPr>
      <w:t xml:space="preserve">POLICY ID: TW23-076 – Patient Safety Incident Response Plan </w:t>
    </w:r>
  </w:p>
  <w:p w14:paraId="72205A51" w14:textId="77777777" w:rsidR="00267CD5" w:rsidRDefault="00267CD5" w:rsidP="00267CD5">
    <w:pPr>
      <w:pStyle w:val="Header"/>
      <w:jc w:val="right"/>
      <w:rPr>
        <w:rFonts w:ascii="Arial" w:hAnsi="Arial" w:cs="Arial"/>
        <w:color w:val="999999"/>
        <w:sz w:val="18"/>
        <w:szCs w:val="18"/>
      </w:rPr>
    </w:pPr>
    <w:r>
      <w:rPr>
        <w:rFonts w:ascii="Arial" w:hAnsi="Arial" w:cs="Arial"/>
        <w:color w:val="999999"/>
        <w:sz w:val="18"/>
        <w:szCs w:val="18"/>
      </w:rPr>
      <w:t>Version No.1</w:t>
    </w:r>
  </w:p>
  <w:p w14:paraId="5E35BBC7" w14:textId="77777777" w:rsidR="00267CD5" w:rsidRDefault="00267CD5" w:rsidP="00267CD5">
    <w:pPr>
      <w:pStyle w:val="Header"/>
      <w:jc w:val="right"/>
      <w:rPr>
        <w:rFonts w:ascii="Arial" w:hAnsi="Arial" w:cs="Arial"/>
        <w:color w:val="999999"/>
        <w:sz w:val="18"/>
        <w:szCs w:val="18"/>
      </w:rPr>
    </w:pPr>
    <w:r>
      <w:rPr>
        <w:rFonts w:ascii="Arial" w:hAnsi="Arial" w:cs="Arial"/>
        <w:color w:val="999999"/>
        <w:sz w:val="18"/>
        <w:szCs w:val="18"/>
      </w:rPr>
      <w:t xml:space="preserve">Author(s) Head of Patient Safety </w:t>
    </w:r>
  </w:p>
  <w:p w14:paraId="4E719FED" w14:textId="77777777" w:rsidR="00267CD5" w:rsidRDefault="00267CD5" w:rsidP="00267CD5">
    <w:pPr>
      <w:pStyle w:val="Header"/>
      <w:jc w:val="right"/>
      <w:rPr>
        <w:rFonts w:ascii="Arial" w:hAnsi="Arial" w:cs="Arial"/>
        <w:color w:val="999999"/>
        <w:sz w:val="18"/>
        <w:szCs w:val="18"/>
      </w:rPr>
    </w:pPr>
    <w:r>
      <w:rPr>
        <w:rFonts w:ascii="Arial" w:hAnsi="Arial" w:cs="Arial"/>
        <w:color w:val="999999"/>
        <w:sz w:val="18"/>
        <w:szCs w:val="18"/>
      </w:rPr>
      <w:t>Ratified PARG:</w:t>
    </w:r>
    <w:r w:rsidR="001A1677">
      <w:rPr>
        <w:rFonts w:ascii="Arial" w:hAnsi="Arial" w:cs="Arial"/>
        <w:color w:val="999999"/>
        <w:sz w:val="18"/>
        <w:szCs w:val="18"/>
      </w:rPr>
      <w:t xml:space="preserve"> December 2023</w:t>
    </w:r>
    <w:r>
      <w:rPr>
        <w:rFonts w:ascii="Arial" w:hAnsi="Arial" w:cs="Arial"/>
        <w:color w:val="999999"/>
        <w:sz w:val="18"/>
        <w:szCs w:val="18"/>
      </w:rPr>
      <w:t xml:space="preserve"> </w:t>
    </w:r>
  </w:p>
  <w:p w14:paraId="781130BE" w14:textId="77777777" w:rsidR="00267CD5" w:rsidRPr="002F5503" w:rsidRDefault="00267CD5" w:rsidP="00267CD5">
    <w:pPr>
      <w:pStyle w:val="Header"/>
      <w:jc w:val="right"/>
      <w:rPr>
        <w:rFonts w:ascii="Arial" w:hAnsi="Arial" w:cs="Arial"/>
        <w:color w:val="999999"/>
        <w:sz w:val="18"/>
        <w:szCs w:val="18"/>
      </w:rPr>
    </w:pPr>
    <w:r>
      <w:rPr>
        <w:rFonts w:ascii="Arial" w:hAnsi="Arial" w:cs="Arial"/>
        <w:color w:val="999999"/>
        <w:sz w:val="18"/>
        <w:szCs w:val="18"/>
      </w:rPr>
      <w:t>Next Review date: December 2026</w:t>
    </w:r>
  </w:p>
  <w:p w14:paraId="4687ED92" w14:textId="77777777" w:rsidR="00267CD5" w:rsidRDefault="00267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393A" w14:textId="77777777" w:rsidR="00514D27" w:rsidRDefault="00514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1A6"/>
    <w:multiLevelType w:val="hybridMultilevel"/>
    <w:tmpl w:val="F1306362"/>
    <w:lvl w:ilvl="0" w:tplc="E89EBA86">
      <w:start w:val="1"/>
      <w:numFmt w:val="bullet"/>
      <w:lvlText w:val=""/>
      <w:lvlJc w:val="left"/>
      <w:pPr>
        <w:ind w:left="644" w:hanging="360"/>
      </w:pPr>
      <w:rPr>
        <w:rFonts w:ascii="Symbol" w:hAnsi="Symbol" w:hint="default"/>
        <w:b/>
        <w:i w:val="0"/>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D878BD"/>
    <w:multiLevelType w:val="hybridMultilevel"/>
    <w:tmpl w:val="9498F870"/>
    <w:lvl w:ilvl="0" w:tplc="DBCEF4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086BDA"/>
    <w:multiLevelType w:val="hybridMultilevel"/>
    <w:tmpl w:val="A6E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453"/>
    <w:multiLevelType w:val="multilevel"/>
    <w:tmpl w:val="D1763EB8"/>
    <w:lvl w:ilvl="0">
      <w:start w:val="1"/>
      <w:numFmt w:val="decimal"/>
      <w:lvlText w:val="%1."/>
      <w:lvlJc w:val="left"/>
      <w:pPr>
        <w:ind w:left="644" w:hanging="360"/>
      </w:pPr>
      <w:rPr>
        <w:rFonts w:ascii="Calibri" w:hAnsi="Calibri" w:cs="Calibri" w:hint="default"/>
        <w:b w:val="0"/>
        <w:bCs/>
        <w:sz w:val="36"/>
        <w:szCs w:val="36"/>
      </w:rPr>
    </w:lvl>
    <w:lvl w:ilvl="1">
      <w:start w:val="1"/>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0AD79EA"/>
    <w:multiLevelType w:val="hybridMultilevel"/>
    <w:tmpl w:val="2F62193E"/>
    <w:lvl w:ilvl="0" w:tplc="B5EA5DB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7367EE"/>
    <w:multiLevelType w:val="hybridMultilevel"/>
    <w:tmpl w:val="4EF8FBA6"/>
    <w:lvl w:ilvl="0" w:tplc="BC7A2DCA">
      <w:start w:val="7"/>
      <w:numFmt w:val="decimal"/>
      <w:lvlText w:val="%1."/>
      <w:lvlJc w:val="left"/>
      <w:pPr>
        <w:ind w:left="218" w:hanging="360"/>
      </w:pPr>
      <w:rPr>
        <w:rFonts w:hint="default"/>
        <w:b w:val="0"/>
        <w:color w:val="0058B0"/>
        <w:sz w:val="36"/>
        <w:szCs w:val="36"/>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1C47139E"/>
    <w:multiLevelType w:val="hybridMultilevel"/>
    <w:tmpl w:val="A580A8DE"/>
    <w:lvl w:ilvl="0" w:tplc="9C587E1C">
      <w:numFmt w:val="bullet"/>
      <w:lvlText w:val="-"/>
      <w:lvlJc w:val="left"/>
      <w:pPr>
        <w:ind w:left="1146" w:hanging="360"/>
      </w:pPr>
      <w:rPr>
        <w:rFonts w:ascii="Calibri" w:eastAsia="Times New Roman"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5679D8"/>
    <w:multiLevelType w:val="multilevel"/>
    <w:tmpl w:val="5C00EEAC"/>
    <w:lvl w:ilvl="0">
      <w:start w:val="4"/>
      <w:numFmt w:val="decimal"/>
      <w:lvlText w:val="%1."/>
      <w:lvlJc w:val="left"/>
      <w:pPr>
        <w:ind w:left="644" w:hanging="360"/>
      </w:pPr>
      <w:rPr>
        <w:rFonts w:asciiTheme="minorHAnsi" w:hAnsiTheme="minorHAnsi" w:cstheme="minorHAnsi" w:hint="default"/>
        <w:b w:val="0"/>
        <w:bCs/>
        <w:sz w:val="36"/>
        <w:szCs w:val="36"/>
      </w:rPr>
    </w:lvl>
    <w:lvl w:ilvl="1">
      <w:start w:val="1"/>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6B22758"/>
    <w:multiLevelType w:val="hybridMultilevel"/>
    <w:tmpl w:val="45FEAE34"/>
    <w:lvl w:ilvl="0" w:tplc="04090001">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E0F10"/>
    <w:multiLevelType w:val="hybridMultilevel"/>
    <w:tmpl w:val="FFBA0FC4"/>
    <w:lvl w:ilvl="0" w:tplc="69D8FED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5094E"/>
    <w:multiLevelType w:val="hybridMultilevel"/>
    <w:tmpl w:val="55FC09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A673A6E"/>
    <w:multiLevelType w:val="hybridMultilevel"/>
    <w:tmpl w:val="4C3AA4D2"/>
    <w:lvl w:ilvl="0" w:tplc="964EA6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2E286B"/>
    <w:multiLevelType w:val="hybridMultilevel"/>
    <w:tmpl w:val="96C820CE"/>
    <w:lvl w:ilvl="0" w:tplc="DBCEF4CA">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3A3BE3"/>
    <w:multiLevelType w:val="hybridMultilevel"/>
    <w:tmpl w:val="B2C6DBC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126DC2"/>
    <w:multiLevelType w:val="hybridMultilevel"/>
    <w:tmpl w:val="8B281492"/>
    <w:lvl w:ilvl="0" w:tplc="A5AE89CC">
      <w:start w:val="1"/>
      <w:numFmt w:val="decimal"/>
      <w:pStyle w:val="TOC1"/>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5F76A8"/>
    <w:multiLevelType w:val="hybridMultilevel"/>
    <w:tmpl w:val="DFF097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326CB4E">
      <w:start w:val="1"/>
      <w:numFmt w:val="bullet"/>
      <w:lvlText w:val="-"/>
      <w:lvlJc w:val="left"/>
      <w:pPr>
        <w:ind w:left="2160" w:hanging="360"/>
      </w:pPr>
      <w:rPr>
        <w:rFonts w:ascii="Arial" w:eastAsiaTheme="majorEastAsia" w:hAnsi="Arial" w:cs="Arial" w:hint="default"/>
        <w:b/>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F612F"/>
    <w:multiLevelType w:val="hybridMultilevel"/>
    <w:tmpl w:val="1BD29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B6A89"/>
    <w:multiLevelType w:val="hybridMultilevel"/>
    <w:tmpl w:val="FD86B530"/>
    <w:lvl w:ilvl="0" w:tplc="90127D82">
      <w:start w:val="1"/>
      <w:numFmt w:val="bullet"/>
      <w:lvlText w:val=""/>
      <w:lvlJc w:val="left"/>
      <w:pPr>
        <w:ind w:left="1004" w:hanging="360"/>
      </w:pPr>
      <w:rPr>
        <w:rFonts w:ascii="Symbol" w:hAnsi="Symbol" w:hint="default"/>
        <w:b/>
        <w:bCs/>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518390881">
    <w:abstractNumId w:val="14"/>
  </w:num>
  <w:num w:numId="2" w16cid:durableId="509222147">
    <w:abstractNumId w:val="4"/>
  </w:num>
  <w:num w:numId="3" w16cid:durableId="695081393">
    <w:abstractNumId w:val="8"/>
  </w:num>
  <w:num w:numId="4" w16cid:durableId="1214806020">
    <w:abstractNumId w:val="3"/>
  </w:num>
  <w:num w:numId="5" w16cid:durableId="364867936">
    <w:abstractNumId w:val="12"/>
  </w:num>
  <w:num w:numId="6" w16cid:durableId="964504379">
    <w:abstractNumId w:val="15"/>
  </w:num>
  <w:num w:numId="7" w16cid:durableId="579674814">
    <w:abstractNumId w:val="17"/>
  </w:num>
  <w:num w:numId="8" w16cid:durableId="216208003">
    <w:abstractNumId w:val="7"/>
  </w:num>
  <w:num w:numId="9" w16cid:durableId="1379620270">
    <w:abstractNumId w:val="0"/>
  </w:num>
  <w:num w:numId="10" w16cid:durableId="1270316809">
    <w:abstractNumId w:val="2"/>
  </w:num>
  <w:num w:numId="11" w16cid:durableId="1319269721">
    <w:abstractNumId w:val="11"/>
  </w:num>
  <w:num w:numId="12" w16cid:durableId="659772885">
    <w:abstractNumId w:val="5"/>
  </w:num>
  <w:num w:numId="13" w16cid:durableId="167525748">
    <w:abstractNumId w:val="6"/>
  </w:num>
  <w:num w:numId="14" w16cid:durableId="329718871">
    <w:abstractNumId w:val="14"/>
    <w:lvlOverride w:ilvl="0">
      <w:startOverride w:val="1"/>
    </w:lvlOverride>
  </w:num>
  <w:num w:numId="15" w16cid:durableId="2082822155">
    <w:abstractNumId w:val="13"/>
  </w:num>
  <w:num w:numId="16" w16cid:durableId="952857783">
    <w:abstractNumId w:val="16"/>
  </w:num>
  <w:num w:numId="17" w16cid:durableId="1787263954">
    <w:abstractNumId w:val="1"/>
  </w:num>
  <w:num w:numId="18" w16cid:durableId="1973057153">
    <w:abstractNumId w:val="10"/>
  </w:num>
  <w:num w:numId="19" w16cid:durableId="113529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92"/>
    <w:rsid w:val="0007446F"/>
    <w:rsid w:val="00102FDB"/>
    <w:rsid w:val="001A1677"/>
    <w:rsid w:val="001B09C9"/>
    <w:rsid w:val="001E2792"/>
    <w:rsid w:val="001E42E6"/>
    <w:rsid w:val="001F1251"/>
    <w:rsid w:val="002140C8"/>
    <w:rsid w:val="0022630F"/>
    <w:rsid w:val="00267CD5"/>
    <w:rsid w:val="002A05B3"/>
    <w:rsid w:val="002B74C9"/>
    <w:rsid w:val="002C6473"/>
    <w:rsid w:val="00303FC1"/>
    <w:rsid w:val="00386D46"/>
    <w:rsid w:val="0039515D"/>
    <w:rsid w:val="00422D85"/>
    <w:rsid w:val="004F09D8"/>
    <w:rsid w:val="00514D27"/>
    <w:rsid w:val="005E3384"/>
    <w:rsid w:val="005E777B"/>
    <w:rsid w:val="00701DC3"/>
    <w:rsid w:val="00756D59"/>
    <w:rsid w:val="00790BF8"/>
    <w:rsid w:val="0086765E"/>
    <w:rsid w:val="008C0927"/>
    <w:rsid w:val="008F4FDA"/>
    <w:rsid w:val="00911BC7"/>
    <w:rsid w:val="009702E7"/>
    <w:rsid w:val="009B3349"/>
    <w:rsid w:val="009C3F38"/>
    <w:rsid w:val="009F6B80"/>
    <w:rsid w:val="00A111F9"/>
    <w:rsid w:val="00B06DE1"/>
    <w:rsid w:val="00B12559"/>
    <w:rsid w:val="00B13A3A"/>
    <w:rsid w:val="00B21E7E"/>
    <w:rsid w:val="00B4759D"/>
    <w:rsid w:val="00B64D91"/>
    <w:rsid w:val="00C3493B"/>
    <w:rsid w:val="00C5115B"/>
    <w:rsid w:val="00D92372"/>
    <w:rsid w:val="00DC3143"/>
    <w:rsid w:val="00DC4755"/>
    <w:rsid w:val="00E15068"/>
    <w:rsid w:val="00E84FB8"/>
    <w:rsid w:val="00F07498"/>
    <w:rsid w:val="00F6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122DB"/>
  <w15:chartTrackingRefBased/>
  <w15:docId w15:val="{48463C0E-BF7F-436D-8982-BE274355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92"/>
    <w:pPr>
      <w:spacing w:after="0" w:line="240" w:lineRule="auto"/>
    </w:pPr>
    <w:rPr>
      <w:rFonts w:ascii="Calibri" w:eastAsia="Times New Roman" w:hAnsi="Calibri" w:cs="HelveticaNeue-Roman"/>
      <w:bCs/>
      <w:color w:val="000000"/>
      <w:sz w:val="24"/>
      <w:lang w:eastAsia="en-GB"/>
    </w:rPr>
  </w:style>
  <w:style w:type="paragraph" w:styleId="Heading1">
    <w:name w:val="heading 1"/>
    <w:basedOn w:val="Normal"/>
    <w:next w:val="Normal"/>
    <w:link w:val="Heading1Char"/>
    <w:uiPriority w:val="9"/>
    <w:qFormat/>
    <w:rsid w:val="001E27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27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792"/>
    <w:rPr>
      <w:color w:val="0563C1" w:themeColor="hyperlink"/>
      <w:u w:val="single"/>
    </w:rPr>
  </w:style>
  <w:style w:type="character" w:customStyle="1" w:styleId="Heading1Char">
    <w:name w:val="Heading 1 Char"/>
    <w:basedOn w:val="DefaultParagraphFont"/>
    <w:link w:val="Heading1"/>
    <w:uiPriority w:val="9"/>
    <w:rsid w:val="001E2792"/>
    <w:rPr>
      <w:rFonts w:asciiTheme="majorHAnsi" w:eastAsiaTheme="majorEastAsia" w:hAnsiTheme="majorHAnsi" w:cstheme="majorBidi"/>
      <w:bCs/>
      <w:color w:val="2F5496" w:themeColor="accent1" w:themeShade="BF"/>
      <w:sz w:val="32"/>
      <w:szCs w:val="32"/>
      <w:lang w:eastAsia="en-GB"/>
    </w:rPr>
  </w:style>
  <w:style w:type="paragraph" w:styleId="TOCHeading">
    <w:name w:val="TOC Heading"/>
    <w:basedOn w:val="Heading1"/>
    <w:next w:val="Normal"/>
    <w:uiPriority w:val="39"/>
    <w:unhideWhenUsed/>
    <w:qFormat/>
    <w:rsid w:val="001E2792"/>
    <w:pPr>
      <w:spacing w:before="480" w:line="276" w:lineRule="auto"/>
      <w:outlineLvl w:val="9"/>
    </w:pPr>
    <w:rPr>
      <w:rFonts w:ascii="Arial" w:hAnsi="Arial"/>
      <w:b/>
      <w:sz w:val="28"/>
      <w:szCs w:val="28"/>
      <w:lang w:val="en-US" w:eastAsia="ja-JP"/>
    </w:rPr>
  </w:style>
  <w:style w:type="paragraph" w:styleId="TOC1">
    <w:name w:val="toc 1"/>
    <w:basedOn w:val="Normal"/>
    <w:next w:val="Normal"/>
    <w:autoRedefine/>
    <w:uiPriority w:val="39"/>
    <w:unhideWhenUsed/>
    <w:qFormat/>
    <w:rsid w:val="001E2792"/>
    <w:pPr>
      <w:numPr>
        <w:numId w:val="1"/>
      </w:numPr>
      <w:tabs>
        <w:tab w:val="right" w:leader="dot" w:pos="9072"/>
      </w:tabs>
      <w:spacing w:after="100" w:line="276" w:lineRule="auto"/>
    </w:pPr>
    <w:rPr>
      <w:rFonts w:ascii="Arial" w:eastAsiaTheme="minorHAnsi" w:hAnsi="Arial" w:cstheme="minorBidi"/>
      <w:bCs w:val="0"/>
      <w:color w:val="auto"/>
      <w:sz w:val="22"/>
      <w:lang w:eastAsia="en-US"/>
    </w:rPr>
  </w:style>
  <w:style w:type="character" w:customStyle="1" w:styleId="Heading2Char">
    <w:name w:val="Heading 2 Char"/>
    <w:basedOn w:val="DefaultParagraphFont"/>
    <w:link w:val="Heading2"/>
    <w:uiPriority w:val="9"/>
    <w:rsid w:val="001E2792"/>
    <w:rPr>
      <w:rFonts w:asciiTheme="majorHAnsi" w:eastAsiaTheme="majorEastAsia" w:hAnsiTheme="majorHAnsi" w:cstheme="majorBidi"/>
      <w:bCs/>
      <w:color w:val="2F5496" w:themeColor="accent1" w:themeShade="BF"/>
      <w:sz w:val="26"/>
      <w:szCs w:val="26"/>
      <w:lang w:eastAsia="en-GB"/>
    </w:rPr>
  </w:style>
  <w:style w:type="table" w:styleId="TableGrid">
    <w:name w:val="Table Grid"/>
    <w:basedOn w:val="TableNormal"/>
    <w:uiPriority w:val="39"/>
    <w:rsid w:val="001E2792"/>
    <w:pPr>
      <w:spacing w:after="0" w:line="240" w:lineRule="auto"/>
    </w:pPr>
    <w:rPr>
      <w:rFonts w:ascii="Calibri" w:eastAsia="Times New Roman" w:hAnsi="Calibri" w:cs="HelveticaNeue-Roman"/>
      <w:bCs/>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792"/>
    <w:pPr>
      <w:autoSpaceDE w:val="0"/>
      <w:autoSpaceDN w:val="0"/>
      <w:adjustRightInd w:val="0"/>
      <w:spacing w:after="0" w:line="240" w:lineRule="auto"/>
    </w:pPr>
    <w:rPr>
      <w:rFonts w:ascii="Arial" w:eastAsia="Times New Roman" w:hAnsi="Arial" w:cs="Arial"/>
      <w:bCs/>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E2792"/>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1E2792"/>
    <w:rPr>
      <w:rFonts w:ascii="Calibri" w:eastAsia="Times New Roman" w:hAnsi="Calibri" w:cs="HelveticaNeue-Roman"/>
      <w:bCs/>
      <w:color w:val="000000"/>
      <w:sz w:val="24"/>
      <w:lang w:eastAsia="en-GB"/>
    </w:rPr>
  </w:style>
  <w:style w:type="table" w:styleId="ListTable2-Accent1">
    <w:name w:val="List Table 2 Accent 1"/>
    <w:basedOn w:val="TableNormal"/>
    <w:uiPriority w:val="47"/>
    <w:rsid w:val="001E279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nhideWhenUsed/>
    <w:rsid w:val="001E2792"/>
    <w:pPr>
      <w:tabs>
        <w:tab w:val="center" w:pos="4513"/>
        <w:tab w:val="right" w:pos="9026"/>
      </w:tabs>
    </w:pPr>
  </w:style>
  <w:style w:type="character" w:customStyle="1" w:styleId="HeaderChar">
    <w:name w:val="Header Char"/>
    <w:basedOn w:val="DefaultParagraphFont"/>
    <w:link w:val="Header"/>
    <w:rsid w:val="001E2792"/>
    <w:rPr>
      <w:rFonts w:ascii="Calibri" w:eastAsia="Times New Roman" w:hAnsi="Calibri" w:cs="HelveticaNeue-Roman"/>
      <w:bCs/>
      <w:color w:val="000000"/>
      <w:sz w:val="24"/>
      <w:lang w:eastAsia="en-GB"/>
    </w:rPr>
  </w:style>
  <w:style w:type="paragraph" w:styleId="Footer">
    <w:name w:val="footer"/>
    <w:basedOn w:val="Normal"/>
    <w:link w:val="FooterChar"/>
    <w:uiPriority w:val="99"/>
    <w:unhideWhenUsed/>
    <w:rsid w:val="001E2792"/>
    <w:pPr>
      <w:tabs>
        <w:tab w:val="center" w:pos="4513"/>
        <w:tab w:val="right" w:pos="9026"/>
      </w:tabs>
    </w:pPr>
  </w:style>
  <w:style w:type="character" w:customStyle="1" w:styleId="FooterChar">
    <w:name w:val="Footer Char"/>
    <w:basedOn w:val="DefaultParagraphFont"/>
    <w:link w:val="Footer"/>
    <w:uiPriority w:val="99"/>
    <w:rsid w:val="001E2792"/>
    <w:rPr>
      <w:rFonts w:ascii="Calibri" w:eastAsia="Times New Roman" w:hAnsi="Calibri" w:cs="HelveticaNeue-Roman"/>
      <w:bCs/>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qualityanddiversity@wwl.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land.nhs.uk/patient-safety/framework-for-involving-patients-in-patient-safet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wl.nhs.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1F4-D5A9-4876-9D78-CC1DC4D0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5505</Words>
  <Characters>31380</Characters>
  <Application>Microsoft Office Word</Application>
  <DocSecurity>0</DocSecurity>
  <Lines>261</Lines>
  <Paragraphs>73</Paragraphs>
  <ScaleCrop>false</ScaleCrop>
  <Company>Wrightington, Wigan and Leigh Teaching Hospitals</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McManus</dc:creator>
  <cp:keywords/>
  <dc:description/>
  <cp:lastModifiedBy>Carrie McManus</cp:lastModifiedBy>
  <cp:revision>2</cp:revision>
  <dcterms:created xsi:type="dcterms:W3CDTF">2025-07-09T11:23:00Z</dcterms:created>
  <dcterms:modified xsi:type="dcterms:W3CDTF">2025-07-09T11:23:00Z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e3b82557a946b30aa63b92647e7ee6b3eaabd47cf087ba864041294f0da74763</vt:lpwstr>
  </property>
</Properties>
</file>